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yebrow"/>
        <w:keepNext w:val="0"/>
      </w:pPr>
      <w:r>
        <w:rPr>
          <w:rFonts w:ascii="Noto Sans CJK KR" w:hAnsi="Noto Sans CJK KR" w:eastAsia="Noto Sans CJK KR" w:cs="Noto Sans CJK KR"/>
          <w:b w:val="0"/>
        </w:rPr>
        <w:t>REVIEW MEMO  /  2026.09.30</w:t>
      </w:r>
    </w:p>
    <w:p>
      <w:pPr>
        <w:keepNext w:val="0"/>
        <w:spacing w:after="240" w:line="580" w:lineRule="exact"/>
      </w:pPr>
      <w:r>
        <w:rPr>
          <w:rFonts w:ascii="Noto Sans CJK KR" w:hAnsi="Noto Sans CJK KR" w:eastAsia="Noto Sans CJK KR" w:cs="Noto Sans CJK KR"/>
          <w:b/>
          <w:color w:val="193C55"/>
          <w:sz w:val="46"/>
        </w:rPr>
        <w:t>삼양라운드힐 계약서 전후 대조표 및 검토의견</w:t>
      </w:r>
    </w:p>
    <w:p>
      <w:pPr>
        <w:keepNext w:val="0"/>
      </w:pPr>
      <w:r>
        <w:rPr>
          <w:rFonts w:ascii="Noto Sans CJK KR" w:hAnsi="Noto Sans CJK KR" w:eastAsia="Noto Sans CJK KR" w:cs="Noto Sans CJK KR"/>
          <w:b/>
          <w:sz w:val="21"/>
        </w:rPr>
        <w:t>검토 기준: ITC_임팩시스_계약서_260529_20260608.docx · 원문 8쪽 / 제1조~제16조</w:t>
      </w:r>
    </w:p>
    <w:p>
      <w:pPr>
        <w:pStyle w:val="Note"/>
        <w:keepNext w:val="0"/>
      </w:pPr>
      <w:r>
        <w:rPr>
          <w:rFonts w:ascii="Noto Sans CJK KR" w:hAnsi="Noto Sans CJK KR" w:eastAsia="Noto Sans CJK KR" w:cs="Noto Sans CJK KR"/>
          <w:b w:val="0"/>
        </w:rPr>
        <w:t>범위: 원문 오류·불일치 점검, 직접 계약 구조로의 전환, 누락 조건 보완. 법률·세무상 최종 판단 또는 상대방의 수락을 확인한 문서가 아니다. 변경 후 문구는 함께 제공한 수정안에서 확인한다.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5953"/>
        <w:gridCol w:w="6690"/>
      </w:tblGrid>
      <w:tr>
        <w:trPr>
          <w:tblHeader/>
          <w:cantSplit/>
        </w:trPr>
        <w:tc>
          <w:tcPr>
            <w:tcW w:type="dxa" w:w="2268"/>
            <w:shd w:fill="193C55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/>
            </w:pPr>
            <w:r>
              <w:rPr>
                <w:rFonts w:ascii="Noto Sans CJK KR" w:hAnsi="Noto Sans CJK KR" w:eastAsia="Noto Sans CJK KR" w:cs="Noto Sans CJK KR"/>
                <w:b/>
                <w:color w:val="FFFFFF"/>
                <w:sz w:val="18"/>
              </w:rPr>
              <w:t>핵심 판단</w:t>
            </w:r>
          </w:p>
        </w:tc>
        <w:tc>
          <w:tcPr>
            <w:tcW w:type="dxa" w:w="5953"/>
            <w:shd w:fill="193C55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/>
            </w:pPr>
            <w:r>
              <w:rPr>
                <w:rFonts w:ascii="Noto Sans CJK KR" w:hAnsi="Noto Sans CJK KR" w:eastAsia="Noto Sans CJK KR" w:cs="Noto Sans CJK KR"/>
                <w:b/>
                <w:color w:val="FFFFFF"/>
                <w:sz w:val="18"/>
              </w:rPr>
              <w:t>발견한 문제</w:t>
            </w:r>
          </w:p>
        </w:tc>
        <w:tc>
          <w:tcPr>
            <w:tcW w:type="dxa" w:w="6690"/>
            <w:shd w:fill="193C55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/>
            </w:pPr>
            <w:r>
              <w:rPr>
                <w:rFonts w:ascii="Noto Sans CJK KR" w:hAnsi="Noto Sans CJK KR" w:eastAsia="Noto Sans CJK KR" w:cs="Noto Sans CJK KR"/>
                <w:b/>
                <w:color w:val="FFFFFF"/>
                <w:sz w:val="18"/>
              </w:rPr>
              <w:t>수정안에서의 처리</w:t>
            </w:r>
          </w:p>
        </w:tc>
      </w:tr>
      <w:tr>
        <w:trPr>
          <w:cantSplit/>
        </w:trPr>
        <w:tc>
          <w:tcPr>
            <w:tcW w:type="dxa" w:w="2268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계약 상대방이 다름</w:t>
            </w:r>
          </w:p>
        </w:tc>
        <w:tc>
          <w:tcPr>
            <w:tcW w:type="dxa" w:w="5953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원문은 남이섬 직접 계약이 아니라 아이티씨코리아와 임팩시스의 계약이다. [O1, 2쪽 전문]</w:t>
            </w:r>
          </w:p>
        </w:tc>
        <w:tc>
          <w:tcPr>
            <w:tcW w:type="dxa" w:w="6690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삼양라운드힐 주식회사와 임팩시스의 직접 계약을 전제로 수정. 운영·공급 권한과 대표권 확인 필요. [W1]</w:t>
            </w:r>
          </w:p>
        </w:tc>
      </w:tr>
      <w:tr>
        <w:trPr>
          <w:cantSplit/>
        </w:trPr>
        <w:tc>
          <w:tcPr>
            <w:tcW w:type="dxa" w:w="2268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의무 주체의 오기 2곳</w:t>
            </w:r>
          </w:p>
        </w:tc>
        <w:tc>
          <w:tcPr>
            <w:tcW w:type="dxa" w:w="5953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제4조 제6항의 제3자 지급 요청과 제7조 제5항의 미사용 정산 면제 문구에서 지급의무·청구권 주체가 뒤바뀐다. [O1, 4·5쪽]</w:t>
            </w:r>
          </w:p>
        </w:tc>
        <w:tc>
          <w:tcPr>
            <w:tcW w:type="dxa" w:w="6690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을 → 갑 정산대금 지급이라는 일관된 방향으로 정정.</w:t>
            </w:r>
          </w:p>
        </w:tc>
      </w:tr>
      <w:tr>
        <w:trPr>
          <w:cantSplit/>
        </w:trPr>
        <w:tc>
          <w:tcPr>
            <w:tcW w:type="dxa" w:w="2268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가격·배분 조건 미확정</w:t>
            </w:r>
          </w:p>
        </w:tc>
        <w:tc>
          <w:tcPr>
            <w:tcW w:type="dxa" w:w="5953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원문 고정 가격은 기존 거래 전용이다. 순이익 산식·월 집계·3만 매 초과 구간도 불명확하다. [O1, 2~4쪽]</w:t>
            </w:r>
          </w:p>
        </w:tc>
        <w:tc>
          <w:tcPr>
            <w:tcW w:type="dxa" w:w="6690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새 가격은 빈칸으로 분리. 기존 4개 구간은 협의안으로만 제시하고, 3만 매 초과 비율도 신규 제안임을 표시.</w:t>
            </w:r>
          </w:p>
        </w:tc>
      </w:tr>
      <w:tr>
        <w:trPr>
          <w:cantSplit/>
        </w:trPr>
        <w:tc>
          <w:tcPr>
            <w:tcW w:type="dxa" w:w="2268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미사용금의 성급한 수익화</w:t>
            </w:r>
          </w:p>
        </w:tc>
        <w:tc>
          <w:tcPr>
            <w:tcW w:type="dxa" w:w="5953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90일 경과 후 자동 No-show 확정·배분과 사용 건 일괄 환불 차단은 권리·예외 처리를 충분히 구분하지 않는다. [O1, 5쪽]</w:t>
            </w:r>
          </w:p>
        </w:tc>
        <w:tc>
          <w:tcPr>
            <w:tcW w:type="dxa" w:w="6690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미사용 대금을 먼저 유보하고, 이행·환불 의무가 없음을 확인한 잔액만 50:50 배분.</w:t>
            </w:r>
          </w:p>
        </w:tc>
      </w:tr>
      <w:tr>
        <w:trPr>
          <w:cantSplit/>
        </w:trPr>
        <w:tc>
          <w:tcPr>
            <w:tcW w:type="dxa" w:w="2268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관련 제안서와 기준 상충</w:t>
            </w:r>
          </w:p>
        </w:tc>
        <w:tc>
          <w:tcPr>
            <w:tcW w:type="dxa" w:w="5953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삼양 제안서는 판매 시점 확정·자동 지급을 설명하지만 원문은 실제 입장 기준이다. [O1, 제4조; P1, 16~17쪽]</w:t>
            </w:r>
          </w:p>
        </w:tc>
        <w:tc>
          <w:tcPr>
            <w:tcW w:type="dxa" w:w="6690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입장 기준을 유지. 판매 기준으로 바꿀 경우 환불·선지급·세무 문구까지 함께 재합의하도록 명시.</w:t>
            </w:r>
          </w:p>
        </w:tc>
      </w:tr>
      <w:tr>
        <w:trPr>
          <w:cantSplit/>
        </w:trPr>
        <w:tc>
          <w:tcPr>
            <w:tcW w:type="dxa" w:w="2268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보존·위탁·별첨 미비</w:t>
            </w:r>
          </w:p>
        </w:tc>
        <w:tc>
          <w:tcPr>
            <w:tcW w:type="dxa" w:w="5953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거래기록을 일괄 3년 보존하고 개인정보 위탁조건이 부족하다. 정산프로세스 별첨은 원문에 없다. [O1, 제6·9·15조]</w:t>
            </w:r>
          </w:p>
        </w:tc>
        <w:tc>
          <w:tcPr>
            <w:tcW w:type="dxa" w:w="6690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거래기록 유형별 보존, 역할별 개인정보 약정, 상품·운영·개인정보 별첨을 실제 첨부. [W2·W3]</w:t>
            </w:r>
          </w:p>
        </w:tc>
      </w:tr>
    </w:tbl>
    <w:p>
      <w:pPr>
        <w:pStyle w:val="Note"/>
        <w:keepNext w:val="0"/>
      </w:pPr>
      <w:r>
        <w:rPr>
          <w:rFonts w:ascii="Noto Sans CJK KR" w:hAnsi="Noto Sans CJK KR" w:eastAsia="Noto Sans CJK KR" w:cs="Noto Sans CJK KR"/>
          <w:b w:val="0"/>
        </w:rPr>
        <w:t>대조표 구분: 「정정」은 오기·구조 불일치 수정, 「보완」은 분쟁 예방을 위한 신설, 「협상」은 실제 합의가 필요한 상업조건 변경, 「유지」는 원문 조건의 승계 제안이다. “원문 요지”는 축약 정리이며 직접 인용이 아니다.</w:t>
      </w:r>
    </w:p>
    <w:p>
      <w:pPr>
        <w:pStyle w:val="Eyebrow"/>
        <w:keepNext w:val="0"/>
        <w:pageBreakBefore/>
      </w:pPr>
      <w:r>
        <w:rPr>
          <w:rFonts w:ascii="Noto Sans CJK KR" w:hAnsi="Noto Sans CJK KR" w:eastAsia="Noto Sans CJK KR" w:cs="Noto Sans CJK KR"/>
          <w:b w:val="0"/>
        </w:rPr>
        <w:t>상세 대조  /  01–05</w:t>
      </w:r>
    </w:p>
    <w:p>
      <w:pPr>
        <w:pStyle w:val="Heading1"/>
        <w:keepNext/>
      </w:pPr>
      <w:r>
        <w:rPr>
          <w:rFonts w:ascii="Noto Sans CJK KR" w:hAnsi="Noto Sans CJK KR" w:eastAsia="Noto Sans CJK KR" w:cs="Noto Sans CJK KR"/>
          <w:b w:val="0"/>
        </w:rPr>
        <w:t>조항별 전후 대조표 1</w:t>
      </w:r>
    </w:p>
    <w:p>
      <w:pPr>
        <w:pStyle w:val="Note"/>
        <w:keepNext w:val="0"/>
      </w:pPr>
      <w:r>
        <w:rPr>
          <w:rFonts w:ascii="Noto Sans CJK KR" w:hAnsi="Noto Sans CJK KR" w:eastAsia="Noto Sans CJK KR" w:cs="Noto Sans CJK KR"/>
          <w:b w:val="0"/>
        </w:rPr>
        <w:t>변경 전은 원문 요지이며, 따옴표 표시 부분만 발췌 인용이다. 변경 후 역시 핵심 문구의 요지로, 전체 효력·예외는 수정안 본문 및 별첨을 함께 읽는다.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43"/>
        <w:gridCol w:w="4054"/>
        <w:gridCol w:w="4394"/>
        <w:gridCol w:w="4620"/>
      </w:tblGrid>
      <w:tr>
        <w:trPr>
          <w:tblHeader/>
          <w:cantSplit/>
        </w:trPr>
        <w:tc>
          <w:tcPr>
            <w:tcW w:type="dxa" w:w="1843"/>
            <w:shd w:fill="193C55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/>
            </w:pPr>
            <w:r>
              <w:rPr>
                <w:rFonts w:ascii="Noto Sans CJK KR" w:hAnsi="Noto Sans CJK KR" w:eastAsia="Noto Sans CJK KR" w:cs="Noto Sans CJK KR"/>
                <w:b/>
                <w:color w:val="FFFFFF"/>
                <w:sz w:val="18"/>
              </w:rPr>
              <w:t>번호 · 위치 · 구분</w:t>
            </w:r>
          </w:p>
        </w:tc>
        <w:tc>
          <w:tcPr>
            <w:tcW w:type="dxa" w:w="4054"/>
            <w:shd w:fill="193C55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/>
            </w:pPr>
            <w:r>
              <w:rPr>
                <w:rFonts w:ascii="Noto Sans CJK KR" w:hAnsi="Noto Sans CJK KR" w:eastAsia="Noto Sans CJK KR" w:cs="Noto Sans CJK KR"/>
                <w:b/>
                <w:color w:val="FFFFFF"/>
                <w:sz w:val="18"/>
              </w:rPr>
              <w:t>변경 전 / 원문 요지</w:t>
            </w:r>
          </w:p>
        </w:tc>
        <w:tc>
          <w:tcPr>
            <w:tcW w:type="dxa" w:w="4394"/>
            <w:shd w:fill="193C55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/>
            </w:pPr>
            <w:r>
              <w:rPr>
                <w:rFonts w:ascii="Noto Sans CJK KR" w:hAnsi="Noto Sans CJK KR" w:eastAsia="Noto Sans CJK KR" w:cs="Noto Sans CJK KR"/>
                <w:b/>
                <w:color w:val="FFFFFF"/>
                <w:sz w:val="18"/>
              </w:rPr>
              <w:t>변경 후 / 수정안 요지</w:t>
            </w:r>
          </w:p>
        </w:tc>
        <w:tc>
          <w:tcPr>
            <w:tcW w:type="dxa" w:w="4620"/>
            <w:shd w:fill="193C55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/>
            </w:pPr>
            <w:r>
              <w:rPr>
                <w:rFonts w:ascii="Noto Sans CJK KR" w:hAnsi="Noto Sans CJK KR" w:eastAsia="Noto Sans CJK KR" w:cs="Noto Sans CJK KR"/>
                <w:b/>
                <w:color w:val="FFFFFF"/>
                <w:sz w:val="18"/>
              </w:rPr>
              <w:t>검토 이유 · 영향 · 확인 필요</w:t>
            </w:r>
          </w:p>
        </w:tc>
      </w:tr>
      <w:tr>
        <w:trPr>
          <w:cantSplit/>
        </w:trPr>
        <w:tc>
          <w:tcPr>
            <w:tcW w:type="dxa" w:w="1843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01</w:t>
              <w:br/>
              <w:t>표지·전문·제1조</w:t>
              <w:br/>
              <w:t>서명란</w:t>
              <w:br/>
              <w:br/>
              <w:t>구조 정정</w:t>
            </w:r>
          </w:p>
        </w:tc>
        <w:tc>
          <w:tcPr>
            <w:tcW w:type="dxa" w:w="405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갑은 “주식회사 아이티씨코리아”. 남이섬과 체결한 입장료 정산 계약 범위 안에서만 유통·정산.</w:t>
            </w:r>
          </w:p>
        </w:tc>
        <w:tc>
          <w:tcPr>
            <w:tcW w:type="dxa" w:w="439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갑은 “삼양라운드힐 주식회사”. 시설 운영·입장권 공급자와 임팩시스의 직접 계약으로 정리.</w:t>
            </w:r>
          </w:p>
        </w:tc>
        <w:tc>
          <w:tcPr>
            <w:tcW w:type="dxa" w:w="4620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원문은 남이섬 직접 계약이 아님. 운영사가 직접 계약한다는 전제의 변경이다. 실제 계약자가 대행사라면 다시 권한 체계를 작성해야 한다. [O1 2쪽; W1]</w:t>
            </w:r>
          </w:p>
        </w:tc>
      </w:tr>
      <w:tr>
        <w:trPr>
          <w:cantSplit/>
        </w:trPr>
        <w:tc>
          <w:tcPr>
            <w:tcW w:type="dxa" w:w="1843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02</w:t>
              <w:br/>
              <w:t>표지·제2조</w:t>
              <w:br/>
              <w:br/>
              <w:t>명칭 변경 / 확인</w:t>
            </w:r>
          </w:p>
        </w:tc>
        <w:tc>
          <w:tcPr>
            <w:tcW w:type="dxa" w:w="4054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서비스명 “리모밸리패스”, 지역상생 결제 플랫폼.</w:t>
            </w:r>
          </w:p>
        </w:tc>
        <w:tc>
          <w:tcPr>
            <w:tcW w:type="dxa" w:w="4394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서비스명 “imVenue(아임베뉴)”, 입장권 유통·발권·입장·정산 플랫폼.</w:t>
            </w:r>
          </w:p>
        </w:tc>
        <w:tc>
          <w:tcPr>
            <w:tcW w:type="dxa" w:w="4620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기존 삼양 대상 제안서의 서비스명과 맞춤. 단순 법인명 치환 이외의 명칭 변경이므로 실제 서비스명 확인 필요. [O1 1쪽; P1 표지]</w:t>
            </w:r>
          </w:p>
        </w:tc>
      </w:tr>
      <w:tr>
        <w:trPr>
          <w:cantSplit/>
        </w:trPr>
        <w:tc>
          <w:tcPr>
            <w:tcW w:type="dxa" w:w="1843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03</w:t>
              <w:br/>
              <w:t>당사자 표·서명란</w:t>
              <w:br/>
              <w:br/>
              <w:t>정정 / 확인</w:t>
            </w:r>
          </w:p>
        </w:tc>
        <w:tc>
          <w:tcPr>
            <w:tcW w:type="dxa" w:w="405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갑 대표자 표에는 김원만·김현식 각자대표, 서명란에는 김원만만 표기. 기존 사업자번호·주소 기재.</w:t>
            </w:r>
          </w:p>
        </w:tc>
        <w:tc>
          <w:tcPr>
            <w:tcW w:type="dxa" w:w="439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기존 갑의 대표자·사업자번호·주소 삭제. 새 갑의 증빙 확인란으로 변경. 을 정보는 원문 유지.</w:t>
            </w:r>
          </w:p>
        </w:tc>
        <w:tc>
          <w:tcPr>
            <w:tcW w:type="dxa" w:w="4620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공식 홈페이지의 개인정보관리책임자를 대표자로 추정하지 않음. 법인등기·사업자등록증·위임장 대조 필요. [O1 2·8쪽; W1]</w:t>
            </w:r>
          </w:p>
        </w:tc>
      </w:tr>
      <w:tr>
        <w:trPr>
          <w:cantSplit/>
        </w:trPr>
        <w:tc>
          <w:tcPr>
            <w:tcW w:type="dxa" w:w="1843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04</w:t>
              <w:br/>
              <w:t>제2조</w:t>
              <w:br/>
              <w:t>별첨1-1</w:t>
              <w:br/>
              <w:br/>
              <w:t>구조 보완</w:t>
            </w:r>
          </w:p>
        </w:tc>
        <w:tc>
          <w:tcPr>
            <w:tcW w:type="dxa" w:w="4054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남이섬 일반입장권 또는 이를 포함한 통합상품에 일괄 적용.</w:t>
            </w:r>
          </w:p>
        </w:tc>
        <w:tc>
          <w:tcPr>
            <w:tcW w:type="dxa" w:w="4394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삼양 상품별 권종·포함 서비스·사용제한·가격·구성별 공급자를 별첨에서 확정.</w:t>
            </w:r>
          </w:p>
        </w:tc>
        <w:tc>
          <w:tcPr>
            <w:tcW w:type="dxa" w:w="4620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대인·소인·체험·번들 및 A/B 판매 유형을 한 가격으로 오인하는 위험 방지. 특정 연령·서비스를 임의로 추가하지 않음. [O1 제2조]</w:t>
            </w:r>
          </w:p>
        </w:tc>
      </w:tr>
      <w:tr>
        <w:trPr>
          <w:cantSplit/>
        </w:trPr>
        <w:tc>
          <w:tcPr>
            <w:tcW w:type="dxa" w:w="1843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05</w:t>
              <w:br/>
              <w:t>제3조 제1항</w:t>
              <w:br/>
              <w:br/>
              <w:t>유지 / 협상</w:t>
            </w:r>
          </w:p>
        </w:tc>
        <w:tc>
          <w:tcPr>
            <w:tcW w:type="dxa" w:w="405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체결일~2027.12.31, 만료 60일 전 종료 통지가 없으면 1년 자동 연장.</w:t>
            </w:r>
          </w:p>
        </w:tc>
        <w:tc>
          <w:tcPr>
            <w:tcW w:type="dxa" w:w="439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동일 기간·60일 통지·1년 자동 연장 유지.</w:t>
            </w:r>
          </w:p>
        </w:tc>
        <w:tc>
          <w:tcPr>
            <w:tcW w:type="dxa" w:w="4620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삼양과 이미 합의된 기간이라는 의미는 아님. 계약 체결 시점과 초기 투자 회수기간을 고려해 승인할 항목. [O1 제3조]</w:t>
            </w:r>
          </w:p>
        </w:tc>
      </w:tr>
    </w:tbl>
    <w:p>
      <w:pPr>
        <w:pStyle w:val="Eyebrow"/>
        <w:keepNext w:val="0"/>
        <w:pageBreakBefore/>
      </w:pPr>
      <w:r>
        <w:rPr>
          <w:rFonts w:ascii="Noto Sans CJK KR" w:hAnsi="Noto Sans CJK KR" w:eastAsia="Noto Sans CJK KR" w:cs="Noto Sans CJK KR"/>
          <w:b w:val="0"/>
        </w:rPr>
        <w:t>상세 대조  /  06–10</w:t>
      </w:r>
    </w:p>
    <w:p>
      <w:pPr>
        <w:pStyle w:val="Heading1"/>
        <w:keepNext/>
      </w:pPr>
      <w:r>
        <w:rPr>
          <w:rFonts w:ascii="Noto Sans CJK KR" w:hAnsi="Noto Sans CJK KR" w:eastAsia="Noto Sans CJK KR" w:cs="Noto Sans CJK KR"/>
          <w:b w:val="0"/>
        </w:rPr>
        <w:t>조항별 전후 대조표 2</w:t>
      </w:r>
    </w:p>
    <w:p>
      <w:pPr>
        <w:pStyle w:val="Note"/>
        <w:keepNext w:val="0"/>
      </w:pPr>
      <w:r>
        <w:rPr>
          <w:rFonts w:ascii="Noto Sans CJK KR" w:hAnsi="Noto Sans CJK KR" w:eastAsia="Noto Sans CJK KR" w:cs="Noto Sans CJK KR"/>
          <w:b w:val="0"/>
        </w:rPr>
        <w:t>변경 전은 원문 요지이며, 따옴표 표시 부분만 발췌 인용이다. 변경 후 역시 핵심 문구의 요지로, 전체 효력·예외는 수정안 본문 및 별첨을 함께 읽는다.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43"/>
        <w:gridCol w:w="4054"/>
        <w:gridCol w:w="4394"/>
        <w:gridCol w:w="4620"/>
      </w:tblGrid>
      <w:tr>
        <w:trPr>
          <w:tblHeader/>
          <w:cantSplit/>
        </w:trPr>
        <w:tc>
          <w:tcPr>
            <w:tcW w:type="dxa" w:w="1843"/>
            <w:shd w:fill="193C55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/>
            </w:pPr>
            <w:r>
              <w:rPr>
                <w:rFonts w:ascii="Noto Sans CJK KR" w:hAnsi="Noto Sans CJK KR" w:eastAsia="Noto Sans CJK KR" w:cs="Noto Sans CJK KR"/>
                <w:b/>
                <w:color w:val="FFFFFF"/>
                <w:sz w:val="18"/>
              </w:rPr>
              <w:t>번호 · 위치 · 구분</w:t>
            </w:r>
          </w:p>
        </w:tc>
        <w:tc>
          <w:tcPr>
            <w:tcW w:type="dxa" w:w="4054"/>
            <w:shd w:fill="193C55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/>
            </w:pPr>
            <w:r>
              <w:rPr>
                <w:rFonts w:ascii="Noto Sans CJK KR" w:hAnsi="Noto Sans CJK KR" w:eastAsia="Noto Sans CJK KR" w:cs="Noto Sans CJK KR"/>
                <w:b/>
                <w:color w:val="FFFFFF"/>
                <w:sz w:val="18"/>
              </w:rPr>
              <w:t>변경 전 / 원문 요지</w:t>
            </w:r>
          </w:p>
        </w:tc>
        <w:tc>
          <w:tcPr>
            <w:tcW w:type="dxa" w:w="4394"/>
            <w:shd w:fill="193C55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/>
            </w:pPr>
            <w:r>
              <w:rPr>
                <w:rFonts w:ascii="Noto Sans CJK KR" w:hAnsi="Noto Sans CJK KR" w:eastAsia="Noto Sans CJK KR" w:cs="Noto Sans CJK KR"/>
                <w:b/>
                <w:color w:val="FFFFFF"/>
                <w:sz w:val="18"/>
              </w:rPr>
              <w:t>변경 후 / 수정안 요지</w:t>
            </w:r>
          </w:p>
        </w:tc>
        <w:tc>
          <w:tcPr>
            <w:tcW w:type="dxa" w:w="4620"/>
            <w:shd w:fill="193C55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/>
            </w:pPr>
            <w:r>
              <w:rPr>
                <w:rFonts w:ascii="Noto Sans CJK KR" w:hAnsi="Noto Sans CJK KR" w:eastAsia="Noto Sans CJK KR" w:cs="Noto Sans CJK KR"/>
                <w:b/>
                <w:color w:val="FFFFFF"/>
                <w:sz w:val="18"/>
              </w:rPr>
              <w:t>검토 이유 · 영향 · 확인 필요</w:t>
            </w:r>
          </w:p>
        </w:tc>
      </w:tr>
      <w:tr>
        <w:trPr>
          <w:cantSplit/>
        </w:trPr>
        <w:tc>
          <w:tcPr>
            <w:tcW w:type="dxa" w:w="1843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06</w:t>
              <w:br/>
              <w:t>제3조 제2~4항</w:t>
              <w:br/>
              <w:br/>
              <w:t>구조 정정 / 보완</w:t>
            </w:r>
          </w:p>
        </w:tc>
        <w:tc>
          <w:tcPr>
            <w:tcW w:type="dxa" w:w="405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갑과 남이섬 사이의 계약 종료 시 통지·후속 협의. 가격 변경은 60일 전 통보·협의.</w:t>
            </w:r>
          </w:p>
        </w:tc>
        <w:tc>
          <w:tcPr>
            <w:tcW w:type="dxa" w:w="439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갑의 운영·공급 권한 상실 통지로 변경. 중요조건은 서면 합의, 기존 판매분 소급 적용 금지.</w:t>
            </w:r>
          </w:p>
        </w:tc>
        <w:tc>
          <w:tcPr>
            <w:tcW w:type="dxa" w:w="4620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상위 남이섬 계약에 종속된 문구 제거. 정책 통지나 관리자 화면 변경만으로 정산금이 바뀌지 않도록 함. [O1 제3조]</w:t>
            </w:r>
          </w:p>
        </w:tc>
      </w:tr>
      <w:tr>
        <w:trPr>
          <w:cantSplit/>
        </w:trPr>
        <w:tc>
          <w:tcPr>
            <w:tcW w:type="dxa" w:w="1843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07</w:t>
              <w:br/>
              <w:t>제2·4조</w:t>
              <w:br/>
              <w:t>별첨1-1</w:t>
              <w:br/>
              <w:br/>
              <w:t>협상 / 미확정</w:t>
            </w:r>
          </w:p>
        </w:tc>
        <w:tc>
          <w:tcPr>
            <w:tcW w:type="dxa" w:w="4054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공식 정가 19,000원, 기준가 17,500원, 갑 정산단가 16,000원.</w:t>
            </w:r>
          </w:p>
        </w:tc>
        <w:tc>
          <w:tcPr>
            <w:tcW w:type="dxa" w:w="4394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원문 금액을 새 계약의 확정값에서 삭제하고 상품·채널별 합의란 마련.</w:t>
            </w:r>
          </w:p>
        </w:tc>
        <w:tc>
          <w:tcPr>
            <w:tcW w:type="dxa" w:w="4620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공식 가격과 협상 공급가는 별개다. 새 가격을 12,000원·10,000원 등으로 임의 확정하지 않음. [O1 3쪽 표1; P1 17·20쪽]</w:t>
            </w:r>
          </w:p>
        </w:tc>
      </w:tr>
      <w:tr>
        <w:trPr>
          <w:cantSplit/>
        </w:trPr>
        <w:tc>
          <w:tcPr>
            <w:tcW w:type="dxa" w:w="1843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08</w:t>
              <w:br/>
              <w:t>제2조 제4항</w:t>
              <w:br/>
              <w:t>별첨1 산식</w:t>
              <w:br/>
              <w:br/>
              <w:t>정정 / 보완</w:t>
            </w:r>
          </w:p>
        </w:tc>
        <w:tc>
          <w:tcPr>
            <w:tcW w:type="dxa" w:w="405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본문 대상금액 1,500원. 표1은 “17,500원-결제수수료-16,000원”으로 표시해 불일치.</w:t>
            </w:r>
          </w:p>
        </w:tc>
        <w:tc>
          <w:tcPr>
            <w:tcW w:type="dxa" w:w="439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D = B − S − 승인 공제비용 C. 공제항목·세금 기준·증빙을 확정하고 중복 공제 금지.</w:t>
            </w:r>
          </w:p>
        </w:tc>
        <w:tc>
          <w:tcPr>
            <w:tcW w:type="dxa" w:w="4620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원문 1,500원은 수수료 차감 전 차액이다. 비용 차감 후에도 고정 수익인 것처럼 표시하지 않음. [O1 제2조 제6항·표1]</w:t>
            </w:r>
          </w:p>
        </w:tc>
      </w:tr>
      <w:tr>
        <w:trPr>
          <w:cantSplit/>
        </w:trPr>
        <w:tc>
          <w:tcPr>
            <w:tcW w:type="dxa" w:w="1843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09</w:t>
              <w:br/>
              <w:t>제4조 제3항</w:t>
              <w:br/>
              <w:t>별첨1-2</w:t>
              <w:br/>
              <w:br/>
              <w:t>정정 / 협상</w:t>
            </w:r>
          </w:p>
        </w:tc>
        <w:tc>
          <w:tcPr>
            <w:tcW w:type="dxa" w:w="4054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누적 입장 수량과 “월” 기준이 혼재. 초과분 적용 문구가 일부 불명확.</w:t>
            </w:r>
          </w:p>
        </w:tc>
        <w:tc>
          <w:tcPr>
            <w:tcW w:type="dxa" w:w="4394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한국시간의 월 실제 입장을 기준으로 구간별 수량에 순차 적용. 매월 초기화·재계산 기준 명시.</w:t>
            </w:r>
          </w:p>
        </w:tc>
        <w:tc>
          <w:tcPr>
            <w:tcW w:type="dxa" w:w="4620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기존 표의 “월” 문구를 기준으로 해석해 통일한 제안. 계약 전체 누적 방식을 의도했다면 다시 수정해야 한다. [O1 3~4쪽 표2]</w:t>
            </w:r>
          </w:p>
        </w:tc>
      </w:tr>
      <w:tr>
        <w:trPr>
          <w:cantSplit/>
        </w:trPr>
        <w:tc>
          <w:tcPr>
            <w:tcW w:type="dxa" w:w="1843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10</w:t>
              <w:br/>
              <w:t>별첨1-2 배분표</w:t>
              <w:br/>
              <w:br/>
              <w:t>협상 / 신규 제안</w:t>
            </w:r>
          </w:p>
        </w:tc>
        <w:tc>
          <w:tcPr>
            <w:tcW w:type="dxa" w:w="405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1만 매 이하 0:100, 다음 5천 70:30, 다음 5천 60:40, 다음 1만 50:50. 3만 매 초과 누락.</w:t>
            </w:r>
          </w:p>
        </w:tc>
        <w:tc>
          <w:tcPr>
            <w:tcW w:type="dxa" w:w="439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1~4구간은 원안 승계 협의안. 30,001매 이상 50:50을 신규 제안으로 표시하고 최종 승인 요구.</w:t>
            </w:r>
          </w:p>
        </w:tc>
        <w:tc>
          <w:tcPr>
            <w:tcW w:type="dxa" w:w="4620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새 구간 비율은 오류 정정만으로 확정할 수 없는 상업조건이다. 0% 구간에서도 공급단가는 지급한다. [O1 표2]</w:t>
            </w:r>
          </w:p>
        </w:tc>
      </w:tr>
    </w:tbl>
    <w:p>
      <w:pPr>
        <w:pStyle w:val="Eyebrow"/>
        <w:keepNext w:val="0"/>
        <w:pageBreakBefore/>
      </w:pPr>
      <w:r>
        <w:rPr>
          <w:rFonts w:ascii="Noto Sans CJK KR" w:hAnsi="Noto Sans CJK KR" w:eastAsia="Noto Sans CJK KR" w:cs="Noto Sans CJK KR"/>
          <w:b w:val="0"/>
        </w:rPr>
        <w:t>상세 대조  /  11–15</w:t>
      </w:r>
    </w:p>
    <w:p>
      <w:pPr>
        <w:pStyle w:val="Heading1"/>
        <w:keepNext/>
      </w:pPr>
      <w:r>
        <w:rPr>
          <w:rFonts w:ascii="Noto Sans CJK KR" w:hAnsi="Noto Sans CJK KR" w:eastAsia="Noto Sans CJK KR" w:cs="Noto Sans CJK KR"/>
          <w:b w:val="0"/>
        </w:rPr>
        <w:t>조항별 전후 대조표 3</w:t>
      </w:r>
    </w:p>
    <w:p>
      <w:pPr>
        <w:pStyle w:val="Note"/>
        <w:keepNext w:val="0"/>
      </w:pPr>
      <w:r>
        <w:rPr>
          <w:rFonts w:ascii="Noto Sans CJK KR" w:hAnsi="Noto Sans CJK KR" w:eastAsia="Noto Sans CJK KR" w:cs="Noto Sans CJK KR"/>
          <w:b w:val="0"/>
        </w:rPr>
        <w:t>변경 전은 원문 요지이며, 따옴표 표시 부분만 발췌 인용이다. 변경 후 역시 핵심 문구의 요지로, 전체 효력·예외는 수정안 본문 및 별첨을 함께 읽는다.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43"/>
        <w:gridCol w:w="4054"/>
        <w:gridCol w:w="4394"/>
        <w:gridCol w:w="4620"/>
      </w:tblGrid>
      <w:tr>
        <w:trPr>
          <w:tblHeader/>
          <w:cantSplit/>
        </w:trPr>
        <w:tc>
          <w:tcPr>
            <w:tcW w:type="dxa" w:w="1843"/>
            <w:shd w:fill="193C55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/>
            </w:pPr>
            <w:r>
              <w:rPr>
                <w:rFonts w:ascii="Noto Sans CJK KR" w:hAnsi="Noto Sans CJK KR" w:eastAsia="Noto Sans CJK KR" w:cs="Noto Sans CJK KR"/>
                <w:b/>
                <w:color w:val="FFFFFF"/>
                <w:sz w:val="18"/>
              </w:rPr>
              <w:t>번호 · 위치 · 구분</w:t>
            </w:r>
          </w:p>
        </w:tc>
        <w:tc>
          <w:tcPr>
            <w:tcW w:type="dxa" w:w="4054"/>
            <w:shd w:fill="193C55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/>
            </w:pPr>
            <w:r>
              <w:rPr>
                <w:rFonts w:ascii="Noto Sans CJK KR" w:hAnsi="Noto Sans CJK KR" w:eastAsia="Noto Sans CJK KR" w:cs="Noto Sans CJK KR"/>
                <w:b/>
                <w:color w:val="FFFFFF"/>
                <w:sz w:val="18"/>
              </w:rPr>
              <w:t>변경 전 / 원문 요지</w:t>
            </w:r>
          </w:p>
        </w:tc>
        <w:tc>
          <w:tcPr>
            <w:tcW w:type="dxa" w:w="4394"/>
            <w:shd w:fill="193C55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/>
            </w:pPr>
            <w:r>
              <w:rPr>
                <w:rFonts w:ascii="Noto Sans CJK KR" w:hAnsi="Noto Sans CJK KR" w:eastAsia="Noto Sans CJK KR" w:cs="Noto Sans CJK KR"/>
                <w:b/>
                <w:color w:val="FFFFFF"/>
                <w:sz w:val="18"/>
              </w:rPr>
              <w:t>변경 후 / 수정안 요지</w:t>
            </w:r>
          </w:p>
        </w:tc>
        <w:tc>
          <w:tcPr>
            <w:tcW w:type="dxa" w:w="4620"/>
            <w:shd w:fill="193C55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/>
            </w:pPr>
            <w:r>
              <w:rPr>
                <w:rFonts w:ascii="Noto Sans CJK KR" w:hAnsi="Noto Sans CJK KR" w:eastAsia="Noto Sans CJK KR" w:cs="Noto Sans CJK KR"/>
                <w:b/>
                <w:color w:val="FFFFFF"/>
                <w:sz w:val="18"/>
              </w:rPr>
              <w:t>검토 이유 · 영향 · 확인 필요</w:t>
            </w:r>
          </w:p>
        </w:tc>
      </w:tr>
      <w:tr>
        <w:trPr>
          <w:cantSplit/>
        </w:trPr>
        <w:tc>
          <w:tcPr>
            <w:tcW w:type="dxa" w:w="1843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11</w:t>
              <w:br/>
              <w:t>제4조 제4·5항</w:t>
              <w:br/>
              <w:br/>
              <w:t>보완 / 일정 제안</w:t>
            </w:r>
          </w:p>
        </w:tc>
        <w:tc>
          <w:tcPr>
            <w:tcW w:type="dxa" w:w="405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익월 10일까지 정산, 정산자료 수령 후 익월 10일까지 이의 제기.</w:t>
            </w:r>
          </w:p>
        </w:tc>
        <w:tc>
          <w:tcPr>
            <w:tcW w:type="dxa" w:w="439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익월 5일 명세, 10일 이견 없는 금액 지급. 수령 후 10영업일 이의 및 사후 오류·환불 정정.</w:t>
            </w:r>
          </w:p>
        </w:tc>
        <w:tc>
          <w:tcPr>
            <w:tcW w:type="dxa" w:w="4620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자료를 지급일에 받으면 이의 시간이 사실상 없을 수 있다. 5일·10영업일은 협상 가능한 절차 제안. [O1 제4조 제3~5항]</w:t>
            </w:r>
          </w:p>
        </w:tc>
      </w:tr>
      <w:tr>
        <w:trPr>
          <w:cantSplit/>
        </w:trPr>
        <w:tc>
          <w:tcPr>
            <w:tcW w:type="dxa" w:w="1843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12</w:t>
              <w:br/>
              <w:t>제4조 제6항</w:t>
              <w:br/>
              <w:t>별첨1-3</w:t>
              <w:br/>
              <w:br/>
              <w:t>보완 / 협상</w:t>
            </w:r>
          </w:p>
        </w:tc>
        <w:tc>
          <w:tcPr>
            <w:tcW w:type="dxa" w:w="4054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PG 정산일정 적용, 지연 시 통지 후 협의. 선지급·환불 대조 기준 없음.</w:t>
            </w:r>
          </w:p>
        </w:tc>
        <w:tc>
          <w:tcPr>
            <w:tcW w:type="dxa" w:w="4394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입장 전 지급은 선지급으로 관리. 지연은 즉시 알리고 지급 연장은 서면 합의. 원칙상 지급의무 유지.</w:t>
            </w:r>
          </w:p>
        </w:tc>
        <w:tc>
          <w:tcPr>
            <w:tcW w:type="dxa" w:w="4620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PG 지연에 따른 지급책임이 을에 남는 구조다. 실제 PG 주기가 월 10일을 넘으면 계약 전에 기한·재원을 반드시 재합의해야 한다. [O1 제4조 제3항]</w:t>
            </w:r>
          </w:p>
        </w:tc>
      </w:tr>
      <w:tr>
        <w:trPr>
          <w:cantSplit/>
        </w:trPr>
        <w:tc>
          <w:tcPr>
            <w:tcW w:type="dxa" w:w="1843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13</w:t>
              <w:br/>
              <w:t>제4조 제7항</w:t>
              <w:br/>
              <w:br/>
              <w:t>오기 정정</w:t>
            </w:r>
          </w:p>
        </w:tc>
        <w:tc>
          <w:tcPr>
            <w:tcW w:type="dxa" w:w="405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“갑은 을에게 지급하여야 할 정산대금의 전부 또는 일부를…” 제3자 지급 요청.</w:t>
            </w:r>
          </w:p>
        </w:tc>
        <w:tc>
          <w:tcPr>
            <w:tcW w:type="dxa" w:w="439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“갑은 을이 갑에게 지급하여야 할 정산대금의 수령인을 제3자로 지정하도록…” 요청.</w:t>
            </w:r>
          </w:p>
        </w:tc>
        <w:tc>
          <w:tcPr>
            <w:tcW w:type="dxa" w:w="4620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정산 채무자는 을, 채권자는 갑이다. 별도 연락으로 계좌 변경 진위를 확인하고, 세무 명의 자동 변경도 차단. [O1 제4조 제6항]</w:t>
            </w:r>
          </w:p>
        </w:tc>
      </w:tr>
      <w:tr>
        <w:trPr>
          <w:cantSplit/>
        </w:trPr>
        <w:tc>
          <w:tcPr>
            <w:tcW w:type="dxa" w:w="1843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14</w:t>
              <w:br/>
              <w:t>제4조 제8항</w:t>
              <w:br/>
              <w:t>별첨1-3</w:t>
              <w:br/>
              <w:br/>
              <w:t>보완 / 세무 확인</w:t>
            </w:r>
          </w:p>
        </w:tc>
        <w:tc>
          <w:tcPr>
            <w:tcW w:type="dxa" w:w="4054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16,000원 기준 갑이 세금계산서를 발행하거나 PG 분개정산 자료에 따라 세무처리.</w:t>
            </w:r>
          </w:p>
        </w:tc>
        <w:tc>
          <w:tcPr>
            <w:tcW w:type="dxa" w:w="4394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실제 공급·대리·중개 구조와 과세 여부에 맞추어 법정 증빙 발행. 공급자·상대방·기준액 확정.</w:t>
            </w:r>
          </w:p>
        </w:tc>
        <w:tc>
          <w:tcPr>
            <w:tcW w:type="dxa" w:w="4620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정산 입금액과 세금계산서 공급가액은 항상 같지 않다. PG 보고서를 법정 증빙의 대체물로 쓰지 않도록 수정. [O1 제4조 제7항; W4]</w:t>
            </w:r>
          </w:p>
        </w:tc>
      </w:tr>
      <w:tr>
        <w:trPr>
          <w:cantSplit/>
        </w:trPr>
        <w:tc>
          <w:tcPr>
            <w:tcW w:type="dxa" w:w="1843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15</w:t>
              <w:br/>
              <w:t>제4조 제5항</w:t>
              <w:br/>
              <w:t>별첨1-2</w:t>
              <w:br/>
              <w:br/>
              <w:t>보완</w:t>
            </w:r>
          </w:p>
        </w:tc>
        <w:tc>
          <w:tcPr>
            <w:tcW w:type="dxa" w:w="405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월 판매·실입장·취소·미사용·누적·구간·세금계산서 대상 금액 제공.</w:t>
            </w:r>
          </w:p>
        </w:tc>
        <w:tc>
          <w:tcPr>
            <w:tcW w:type="dxa" w:w="439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기존 항목에 상품·채널, 선지급·유보·잔액, 승인 공제비용, 사후 조정 및 식별값 대조 추가.</w:t>
            </w:r>
          </w:p>
        </w:tc>
        <w:tc>
          <w:tcPr>
            <w:tcW w:type="dxa" w:w="4620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추가 항목은 재무·개발 구현 범위에 영향. 다른 가맹점의 불필요한 개인정보는 제외. [O1 제4조 제4항]</w:t>
            </w:r>
          </w:p>
        </w:tc>
      </w:tr>
    </w:tbl>
    <w:p>
      <w:pPr>
        <w:pStyle w:val="Eyebrow"/>
        <w:keepNext w:val="0"/>
        <w:pageBreakBefore/>
      </w:pPr>
      <w:r>
        <w:rPr>
          <w:rFonts w:ascii="Noto Sans CJK KR" w:hAnsi="Noto Sans CJK KR" w:eastAsia="Noto Sans CJK KR" w:cs="Noto Sans CJK KR"/>
          <w:b w:val="0"/>
        </w:rPr>
        <w:t>상세 대조  /  16–20</w:t>
      </w:r>
    </w:p>
    <w:p>
      <w:pPr>
        <w:pStyle w:val="Heading1"/>
        <w:keepNext/>
      </w:pPr>
      <w:r>
        <w:rPr>
          <w:rFonts w:ascii="Noto Sans CJK KR" w:hAnsi="Noto Sans CJK KR" w:eastAsia="Noto Sans CJK KR" w:cs="Noto Sans CJK KR"/>
          <w:b w:val="0"/>
        </w:rPr>
        <w:t>조항별 전후 대조표 4</w:t>
      </w:r>
    </w:p>
    <w:p>
      <w:pPr>
        <w:pStyle w:val="Note"/>
        <w:keepNext w:val="0"/>
      </w:pPr>
      <w:r>
        <w:rPr>
          <w:rFonts w:ascii="Noto Sans CJK KR" w:hAnsi="Noto Sans CJK KR" w:eastAsia="Noto Sans CJK KR" w:cs="Noto Sans CJK KR"/>
          <w:b w:val="0"/>
        </w:rPr>
        <w:t>변경 전은 원문 요지이며, 따옴표 표시 부분만 발췌 인용이다. 변경 후 역시 핵심 문구의 요지로, 전체 효력·예외는 수정안 본문 및 별첨을 함께 읽는다.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43"/>
        <w:gridCol w:w="4054"/>
        <w:gridCol w:w="4394"/>
        <w:gridCol w:w="4620"/>
      </w:tblGrid>
      <w:tr>
        <w:trPr>
          <w:tblHeader/>
          <w:cantSplit/>
        </w:trPr>
        <w:tc>
          <w:tcPr>
            <w:tcW w:type="dxa" w:w="1843"/>
            <w:shd w:fill="193C55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/>
            </w:pPr>
            <w:r>
              <w:rPr>
                <w:rFonts w:ascii="Noto Sans CJK KR" w:hAnsi="Noto Sans CJK KR" w:eastAsia="Noto Sans CJK KR" w:cs="Noto Sans CJK KR"/>
                <w:b/>
                <w:color w:val="FFFFFF"/>
                <w:sz w:val="18"/>
              </w:rPr>
              <w:t>번호 · 위치 · 구분</w:t>
            </w:r>
          </w:p>
        </w:tc>
        <w:tc>
          <w:tcPr>
            <w:tcW w:type="dxa" w:w="4054"/>
            <w:shd w:fill="193C55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/>
            </w:pPr>
            <w:r>
              <w:rPr>
                <w:rFonts w:ascii="Noto Sans CJK KR" w:hAnsi="Noto Sans CJK KR" w:eastAsia="Noto Sans CJK KR" w:cs="Noto Sans CJK KR"/>
                <w:b/>
                <w:color w:val="FFFFFF"/>
                <w:sz w:val="18"/>
              </w:rPr>
              <w:t>변경 전 / 원문 요지</w:t>
            </w:r>
          </w:p>
        </w:tc>
        <w:tc>
          <w:tcPr>
            <w:tcW w:type="dxa" w:w="4394"/>
            <w:shd w:fill="193C55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/>
            </w:pPr>
            <w:r>
              <w:rPr>
                <w:rFonts w:ascii="Noto Sans CJK KR" w:hAnsi="Noto Sans CJK KR" w:eastAsia="Noto Sans CJK KR" w:cs="Noto Sans CJK KR"/>
                <w:b/>
                <w:color w:val="FFFFFF"/>
                <w:sz w:val="18"/>
              </w:rPr>
              <w:t>변경 후 / 수정안 요지</w:t>
            </w:r>
          </w:p>
        </w:tc>
        <w:tc>
          <w:tcPr>
            <w:tcW w:type="dxa" w:w="4620"/>
            <w:shd w:fill="193C55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/>
            </w:pPr>
            <w:r>
              <w:rPr>
                <w:rFonts w:ascii="Noto Sans CJK KR" w:hAnsi="Noto Sans CJK KR" w:eastAsia="Noto Sans CJK KR" w:cs="Noto Sans CJK KR"/>
                <w:b/>
                <w:color w:val="FFFFFF"/>
                <w:sz w:val="18"/>
              </w:rPr>
              <w:t>검토 이유 · 영향 · 확인 필요</w:t>
            </w:r>
          </w:p>
        </w:tc>
      </w:tr>
      <w:tr>
        <w:trPr>
          <w:cantSplit/>
        </w:trPr>
        <w:tc>
          <w:tcPr>
            <w:tcW w:type="dxa" w:w="1843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16</w:t>
              <w:br/>
              <w:t>제5조 제1·2항</w:t>
              <w:br/>
              <w:br/>
              <w:t>보완 / 협상</w:t>
            </w:r>
          </w:p>
        </w:tc>
        <w:tc>
          <w:tcPr>
            <w:tcW w:type="dxa" w:w="405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가맹점 자율 판매이나 19,000원 초과 불가. 할인해도 갑 정산단가 16,000원은 유지.</w:t>
            </w:r>
          </w:p>
        </w:tc>
        <w:tc>
          <w:tcPr>
            <w:tcW w:type="dxa" w:w="439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권종별 공식 단독 입장권 정가를 기준으로 적용. 번들 전체 상한과 분리하고 할인 부담자 명시.</w:t>
            </w:r>
          </w:p>
        </w:tc>
        <w:tc>
          <w:tcPr>
            <w:tcW w:type="dxa" w:w="4620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식음·체험을 포함한 통합상품 가격까지 입장권 상한으로 제한하는 오해 방지. 갑 몫 감액은 사전 서면 동의 필요. [O1 제5조]</w:t>
            </w:r>
          </w:p>
        </w:tc>
      </w:tr>
      <w:tr>
        <w:trPr>
          <w:cantSplit/>
        </w:trPr>
        <w:tc>
          <w:tcPr>
            <w:tcW w:type="dxa" w:w="1843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17</w:t>
              <w:br/>
              <w:t>제5조 제3·4항</w:t>
              <w:br/>
              <w:t>별첨1-1·1-3</w:t>
              <w:br/>
              <w:br/>
              <w:t>보완 / 협상</w:t>
            </w:r>
          </w:p>
        </w:tc>
        <w:tc>
          <w:tcPr>
            <w:tcW w:type="dxa" w:w="4054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가맹점 판매 및 을 정책 언급만 있고 판매주체·가맹점 대가의 정산 위치가 불명확.</w:t>
            </w:r>
          </w:p>
        </w:tc>
        <w:tc>
          <w:tcPr>
            <w:tcW w:type="dxa" w:w="4394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QR 소개형과 POS 판매형의 법적 역할·판매자 표시 구분. 가맹점 대가는 원칙상 을 귀속분에서 지급.</w:t>
            </w:r>
          </w:p>
        </w:tc>
        <w:tc>
          <w:tcPr>
            <w:tcW w:type="dxa" w:w="4620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공동 비용으로 차감하려면 명시 합의 필요. 갑 몫과 별도로 가맹점 수익을 지급하면서 을 마진이 부족해질 수 있어 수익성 계산 필요. [O1 제2·5조; P1 20쪽]</w:t>
            </w:r>
          </w:p>
        </w:tc>
      </w:tr>
      <w:tr>
        <w:trPr>
          <w:cantSplit/>
        </w:trPr>
        <w:tc>
          <w:tcPr>
            <w:tcW w:type="dxa" w:w="1843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18</w:t>
              <w:br/>
              <w:t>제5조 제5항</w:t>
              <w:br/>
              <w:t>별첨1</w:t>
              <w:br/>
              <w:br/>
              <w:t>보완</w:t>
            </w:r>
          </w:p>
        </w:tc>
        <w:tc>
          <w:tcPr>
            <w:tcW w:type="dxa" w:w="405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원문에는 권종별 상세 구매 고지·구성별 부분 사용·환불 절차가 없음.</w:t>
            </w:r>
          </w:p>
        </w:tc>
        <w:tc>
          <w:tcPr>
            <w:tcW w:type="dxa" w:w="439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상품별 이용시간·포함 서비스·유효기간·제한·총액·환불 조건 및 번들 구성별 기준을 사전 확정.</w:t>
            </w:r>
          </w:p>
        </w:tc>
        <w:tc>
          <w:tcPr>
            <w:tcW w:type="dxa" w:w="4620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구매 조건을 계약서 문구만으로 대신하지 않도록 상품 등록·고지 화면 검수를 추가. [O1 제5·7조]</w:t>
            </w:r>
          </w:p>
        </w:tc>
      </w:tr>
      <w:tr>
        <w:trPr>
          <w:cantSplit/>
        </w:trPr>
        <w:tc>
          <w:tcPr>
            <w:tcW w:type="dxa" w:w="1843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19</w:t>
              <w:br/>
              <w:t>제6조 제1~3항</w:t>
              <w:br/>
              <w:t>별첨2</w:t>
              <w:br/>
              <w:br/>
              <w:t>구조 정정 / 보완</w:t>
            </w:r>
          </w:p>
        </w:tc>
        <w:tc>
          <w:tcPr>
            <w:tcW w:type="dxa" w:w="4054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남이섬·가평·메타나루 등 승인 장소. 구축·운영·유지보수는 을 부담, 추가 요구 비용 협의.</w:t>
            </w:r>
          </w:p>
        </w:tc>
        <w:tc>
          <w:tcPr>
            <w:tcW w:type="dxa" w:w="4394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삼양 승인 장소로 변경. 합의된 기본 범위만 을 부담, 추가 장비·연동·상주·출장 등 사전 견적·승인.</w:t>
            </w:r>
          </w:p>
        </w:tc>
        <w:tc>
          <w:tcPr>
            <w:tcW w:type="dxa" w:w="4620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무제한 장비·개발·현장 지원으로 확대되지 않도록 수량·소유권·검수·현장 분담을 기재. [O1 제2조 제8항·제6조]</w:t>
            </w:r>
          </w:p>
        </w:tc>
      </w:tr>
      <w:tr>
        <w:trPr>
          <w:cantSplit/>
        </w:trPr>
        <w:tc>
          <w:tcPr>
            <w:tcW w:type="dxa" w:w="1843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20</w:t>
              <w:br/>
              <w:t>제6조 제4~6항</w:t>
              <w:br/>
              <w:t>별첨2·3</w:t>
              <w:br/>
              <w:br/>
              <w:t>보완 / 법령 반영</w:t>
            </w:r>
          </w:p>
        </w:tc>
        <w:tc>
          <w:tcPr>
            <w:tcW w:type="dxa" w:w="405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스캔 즉시 반영 및 입장 로그·취소·환불·정산자료 최소 3년 보관.</w:t>
            </w:r>
          </w:p>
        </w:tc>
        <w:tc>
          <w:tcPr>
            <w:tcW w:type="dxa" w:w="439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장애 시 대체 입장·복구 대조. 적용 대상 기록을 5년·3년·6개월로 구분하고 개인정보는 최소 보존.</w:t>
            </w:r>
          </w:p>
        </w:tc>
        <w:tc>
          <w:tcPr>
            <w:tcW w:type="dxa" w:w="4620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3년 일괄 보존으로 충분하다고 보기 어렵다. 모든 개인정보를 무조건 5년 보관한다는 뜻도 아니다. [O1 제6조 제4항; W2]</w:t>
            </w:r>
          </w:p>
        </w:tc>
      </w:tr>
    </w:tbl>
    <w:p>
      <w:pPr>
        <w:pStyle w:val="Eyebrow"/>
        <w:keepNext w:val="0"/>
        <w:pageBreakBefore/>
      </w:pPr>
      <w:r>
        <w:rPr>
          <w:rFonts w:ascii="Noto Sans CJK KR" w:hAnsi="Noto Sans CJK KR" w:eastAsia="Noto Sans CJK KR" w:cs="Noto Sans CJK KR"/>
          <w:b w:val="0"/>
        </w:rPr>
        <w:t>상세 대조  /  21–25</w:t>
      </w:r>
    </w:p>
    <w:p>
      <w:pPr>
        <w:pStyle w:val="Heading1"/>
        <w:keepNext/>
      </w:pPr>
      <w:r>
        <w:rPr>
          <w:rFonts w:ascii="Noto Sans CJK KR" w:hAnsi="Noto Sans CJK KR" w:eastAsia="Noto Sans CJK KR" w:cs="Noto Sans CJK KR"/>
          <w:b w:val="0"/>
        </w:rPr>
        <w:t>조항별 전후 대조표 5</w:t>
      </w:r>
    </w:p>
    <w:p>
      <w:pPr>
        <w:pStyle w:val="Note"/>
        <w:keepNext w:val="0"/>
      </w:pPr>
      <w:r>
        <w:rPr>
          <w:rFonts w:ascii="Noto Sans CJK KR" w:hAnsi="Noto Sans CJK KR" w:eastAsia="Noto Sans CJK KR" w:cs="Noto Sans CJK KR"/>
          <w:b w:val="0"/>
        </w:rPr>
        <w:t>변경 전은 원문 요지이며, 따옴표 표시 부분만 발췌 인용이다. 변경 후 역시 핵심 문구의 요지로, 전체 효력·예외는 수정안 본문 및 별첨을 함께 읽는다.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43"/>
        <w:gridCol w:w="4054"/>
        <w:gridCol w:w="4394"/>
        <w:gridCol w:w="4620"/>
      </w:tblGrid>
      <w:tr>
        <w:trPr>
          <w:tblHeader/>
          <w:cantSplit/>
        </w:trPr>
        <w:tc>
          <w:tcPr>
            <w:tcW w:type="dxa" w:w="1843"/>
            <w:shd w:fill="193C55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/>
            </w:pPr>
            <w:r>
              <w:rPr>
                <w:rFonts w:ascii="Noto Sans CJK KR" w:hAnsi="Noto Sans CJK KR" w:eastAsia="Noto Sans CJK KR" w:cs="Noto Sans CJK KR"/>
                <w:b/>
                <w:color w:val="FFFFFF"/>
                <w:sz w:val="18"/>
              </w:rPr>
              <w:t>번호 · 위치 · 구분</w:t>
            </w:r>
          </w:p>
        </w:tc>
        <w:tc>
          <w:tcPr>
            <w:tcW w:type="dxa" w:w="4054"/>
            <w:shd w:fill="193C55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/>
            </w:pPr>
            <w:r>
              <w:rPr>
                <w:rFonts w:ascii="Noto Sans CJK KR" w:hAnsi="Noto Sans CJK KR" w:eastAsia="Noto Sans CJK KR" w:cs="Noto Sans CJK KR"/>
                <w:b/>
                <w:color w:val="FFFFFF"/>
                <w:sz w:val="18"/>
              </w:rPr>
              <w:t>변경 전 / 원문 요지</w:t>
            </w:r>
          </w:p>
        </w:tc>
        <w:tc>
          <w:tcPr>
            <w:tcW w:type="dxa" w:w="4394"/>
            <w:shd w:fill="193C55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/>
            </w:pPr>
            <w:r>
              <w:rPr>
                <w:rFonts w:ascii="Noto Sans CJK KR" w:hAnsi="Noto Sans CJK KR" w:eastAsia="Noto Sans CJK KR" w:cs="Noto Sans CJK KR"/>
                <w:b/>
                <w:color w:val="FFFFFF"/>
                <w:sz w:val="18"/>
              </w:rPr>
              <w:t>변경 후 / 수정안 요지</w:t>
            </w:r>
          </w:p>
        </w:tc>
        <w:tc>
          <w:tcPr>
            <w:tcW w:type="dxa" w:w="4620"/>
            <w:shd w:fill="193C55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/>
            </w:pPr>
            <w:r>
              <w:rPr>
                <w:rFonts w:ascii="Noto Sans CJK KR" w:hAnsi="Noto Sans CJK KR" w:eastAsia="Noto Sans CJK KR" w:cs="Noto Sans CJK KR"/>
                <w:b/>
                <w:color w:val="FFFFFF"/>
                <w:sz w:val="18"/>
              </w:rPr>
              <w:t>검토 이유 · 영향 · 확인 필요</w:t>
            </w:r>
          </w:p>
        </w:tc>
      </w:tr>
      <w:tr>
        <w:trPr>
          <w:cantSplit/>
        </w:trPr>
        <w:tc>
          <w:tcPr>
            <w:tcW w:type="dxa" w:w="1843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21</w:t>
              <w:br/>
              <w:t>제7조 제4항</w:t>
              <w:br/>
              <w:br/>
              <w:t>보완</w:t>
            </w:r>
          </w:p>
        </w:tc>
        <w:tc>
          <w:tcPr>
            <w:tcW w:type="dxa" w:w="405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“실제 입장이 확인된 티켓은 시스템상 환불이 자동 차단되어야” 함.</w:t>
            </w:r>
          </w:p>
        </w:tc>
        <w:tc>
          <w:tcPr>
            <w:tcW w:type="dxa" w:w="439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통상 자동 환불은 차단하되 중복 결제·오입장·서비스 미이행 등 정당한 사유는 승인 이력과 함께 정정·환불.</w:t>
            </w:r>
          </w:p>
        </w:tc>
        <w:tc>
          <w:tcPr>
            <w:tcW w:type="dxa" w:w="4620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스캔 사실만으로 모든 소비자 환불 사유가 사라지는 것은 아니다. 현장 서비스 예외와 시스템 처리를 연결. [O1 제7조 제1항; W1]</w:t>
            </w:r>
          </w:p>
        </w:tc>
      </w:tr>
      <w:tr>
        <w:trPr>
          <w:cantSplit/>
        </w:trPr>
        <w:tc>
          <w:tcPr>
            <w:tcW w:type="dxa" w:w="1843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22</w:t>
              <w:br/>
              <w:t>제7조 제1·2항</w:t>
              <w:br/>
              <w:br/>
              <w:t>위험 보완 / 조건 재협의</w:t>
            </w:r>
          </w:p>
        </w:tc>
        <w:tc>
          <w:tcPr>
            <w:tcW w:type="dxa" w:w="4054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미표시 일반권은 구매 후 90일 유효, 다음 날 No-show 확정.</w:t>
            </w:r>
          </w:p>
        </w:tc>
        <w:tc>
          <w:tcPr>
            <w:tcW w:type="dxa" w:w="4394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상품별 기간·만료 후 권리를 확인하고 미확정 상품은 판매 금지. 기간 경과만으로 권리 소멸·수익 확정 불인정.</w:t>
            </w:r>
          </w:p>
        </w:tc>
        <w:tc>
          <w:tcPr>
            <w:tcW w:type="dxa" w:w="4620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90일 만료가 언제나 무효라고 단정한 것은 아니다. 날짜지정 입장권·서비스권·상품권의 성격과 판매 조건을 따로 확인해야 한다. [O1 제7조 제2항]</w:t>
            </w:r>
          </w:p>
        </w:tc>
      </w:tr>
      <w:tr>
        <w:trPr>
          <w:cantSplit/>
        </w:trPr>
        <w:tc>
          <w:tcPr>
            <w:tcW w:type="dxa" w:w="1843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23</w:t>
              <w:br/>
              <w:t>제7조 제5항</w:t>
              <w:br/>
              <w:br/>
              <w:t>오기 정정</w:t>
            </w:r>
          </w:p>
        </w:tc>
        <w:tc>
          <w:tcPr>
            <w:tcW w:type="dxa" w:w="405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“갑의 입장권 정산단가 지급의무 및 을의 입장권 정산단가 지급청구권” 없음.</w:t>
            </w:r>
          </w:p>
        </w:tc>
        <w:tc>
          <w:tcPr>
            <w:tcW w:type="dxa" w:w="439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“을의 갑 정산단가 지급의무 및 갑의 그 지급청구권” 없음. 선지급액은 반환·상계·유보.</w:t>
            </w:r>
          </w:p>
        </w:tc>
        <w:tc>
          <w:tcPr>
            <w:tcW w:type="dxa" w:w="4620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실입장 기준에서 미사용 정산단가의 의무자·권리자를 바로잡음. 판매 기준으로 전환하면 이 조항도 다시 정해야 한다. [O1 제7조 제5항]</w:t>
            </w:r>
          </w:p>
        </w:tc>
      </w:tr>
      <w:tr>
        <w:trPr>
          <w:cantSplit/>
        </w:trPr>
        <w:tc>
          <w:tcPr>
            <w:tcW w:type="dxa" w:w="1843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24</w:t>
              <w:br/>
              <w:t>제7조 제6·7항</w:t>
              <w:br/>
              <w:br/>
              <w:t>보완 / 협상</w:t>
            </w:r>
          </w:p>
        </w:tc>
        <w:tc>
          <w:tcPr>
            <w:tcW w:type="dxa" w:w="4054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미사용 소비자 결제액에서 비용을 빼고 갑·을 50%씩 배분.</w:t>
            </w:r>
          </w:p>
        </w:tc>
        <w:tc>
          <w:tcPr>
            <w:tcW w:type="dxa" w:w="4394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환불·이행 의무가 없다고 서면 확정한 순잔액만 50:50. 미확정·분쟁 금액 제외, 사후 환불 반환·재정산.</w:t>
            </w:r>
          </w:p>
        </w:tc>
        <w:tc>
          <w:tcPr>
            <w:tcW w:type="dxa" w:w="4620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50:50은 원안 승계 제안이다. 실제로 배분 가능한 잔액이 없을 수 있으므로 No-show 수익을 확정 수익으로 예상하지 않는다. [O1 제7조 제4~6항]</w:t>
            </w:r>
          </w:p>
        </w:tc>
      </w:tr>
      <w:tr>
        <w:trPr>
          <w:cantSplit/>
        </w:trPr>
        <w:tc>
          <w:tcPr>
            <w:tcW w:type="dxa" w:w="1843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25</w:t>
              <w:br/>
              <w:t>제8조 제1·2·4항</w:t>
              <w:br/>
              <w:br/>
              <w:t>구조 정정 / 보완</w:t>
            </w:r>
          </w:p>
        </w:tc>
        <w:tc>
          <w:tcPr>
            <w:tcW w:type="dxa" w:w="405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갑의 의무가 남이섬 계약 범위 내 협조 및 보유·제공 가능한 자료 제공에 한정.</w:t>
            </w:r>
          </w:p>
        </w:tc>
        <w:tc>
          <w:tcPr>
            <w:tcW w:type="dxa" w:w="439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갑이 직접 운영·공급 권한과 현장 서비스·정보의 정확성에 책임. 휴장·제한 즉시 통지 및 환불 협조.</w:t>
            </w:r>
          </w:p>
        </w:tc>
        <w:tc>
          <w:tcPr>
            <w:tcW w:type="dxa" w:w="4620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직접 운영사 계약에서는 단순 전달·협조만으로 현장 이행 책임을 정하기 어려움. [O1 제8조]</w:t>
            </w:r>
          </w:p>
        </w:tc>
      </w:tr>
    </w:tbl>
    <w:p>
      <w:pPr>
        <w:pStyle w:val="Eyebrow"/>
        <w:keepNext w:val="0"/>
        <w:pageBreakBefore/>
      </w:pPr>
      <w:r>
        <w:rPr>
          <w:rFonts w:ascii="Noto Sans CJK KR" w:hAnsi="Noto Sans CJK KR" w:eastAsia="Noto Sans CJK KR" w:cs="Noto Sans CJK KR"/>
          <w:b w:val="0"/>
        </w:rPr>
        <w:t>상세 대조  /  26–30</w:t>
      </w:r>
    </w:p>
    <w:p>
      <w:pPr>
        <w:pStyle w:val="Heading1"/>
        <w:keepNext/>
      </w:pPr>
      <w:r>
        <w:rPr>
          <w:rFonts w:ascii="Noto Sans CJK KR" w:hAnsi="Noto Sans CJK KR" w:eastAsia="Noto Sans CJK KR" w:cs="Noto Sans CJK KR"/>
          <w:b w:val="0"/>
        </w:rPr>
        <w:t>조항별 전후 대조표 6</w:t>
      </w:r>
    </w:p>
    <w:p>
      <w:pPr>
        <w:pStyle w:val="Note"/>
        <w:keepNext w:val="0"/>
      </w:pPr>
      <w:r>
        <w:rPr>
          <w:rFonts w:ascii="Noto Sans CJK KR" w:hAnsi="Noto Sans CJK KR" w:eastAsia="Noto Sans CJK KR" w:cs="Noto Sans CJK KR"/>
          <w:b w:val="0"/>
        </w:rPr>
        <w:t>변경 전은 원문 요지이며, 따옴표 표시 부분만 발췌 인용이다. 변경 후 역시 핵심 문구의 요지로, 전체 효력·예외는 수정안 본문 및 별첨을 함께 읽는다.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43"/>
        <w:gridCol w:w="4054"/>
        <w:gridCol w:w="4394"/>
        <w:gridCol w:w="4620"/>
      </w:tblGrid>
      <w:tr>
        <w:trPr>
          <w:tblHeader/>
          <w:cantSplit/>
        </w:trPr>
        <w:tc>
          <w:tcPr>
            <w:tcW w:type="dxa" w:w="1843"/>
            <w:shd w:fill="193C55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/>
            </w:pPr>
            <w:r>
              <w:rPr>
                <w:rFonts w:ascii="Noto Sans CJK KR" w:hAnsi="Noto Sans CJK KR" w:eastAsia="Noto Sans CJK KR" w:cs="Noto Sans CJK KR"/>
                <w:b/>
                <w:color w:val="FFFFFF"/>
                <w:sz w:val="18"/>
              </w:rPr>
              <w:t>번호 · 위치 · 구분</w:t>
            </w:r>
          </w:p>
        </w:tc>
        <w:tc>
          <w:tcPr>
            <w:tcW w:type="dxa" w:w="4054"/>
            <w:shd w:fill="193C55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/>
            </w:pPr>
            <w:r>
              <w:rPr>
                <w:rFonts w:ascii="Noto Sans CJK KR" w:hAnsi="Noto Sans CJK KR" w:eastAsia="Noto Sans CJK KR" w:cs="Noto Sans CJK KR"/>
                <w:b/>
                <w:color w:val="FFFFFF"/>
                <w:sz w:val="18"/>
              </w:rPr>
              <w:t>변경 전 / 원문 요지</w:t>
            </w:r>
          </w:p>
        </w:tc>
        <w:tc>
          <w:tcPr>
            <w:tcW w:type="dxa" w:w="4394"/>
            <w:shd w:fill="193C55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/>
            </w:pPr>
            <w:r>
              <w:rPr>
                <w:rFonts w:ascii="Noto Sans CJK KR" w:hAnsi="Noto Sans CJK KR" w:eastAsia="Noto Sans CJK KR" w:cs="Noto Sans CJK KR"/>
                <w:b/>
                <w:color w:val="FFFFFF"/>
                <w:sz w:val="18"/>
              </w:rPr>
              <w:t>변경 후 / 수정안 요지</w:t>
            </w:r>
          </w:p>
        </w:tc>
        <w:tc>
          <w:tcPr>
            <w:tcW w:type="dxa" w:w="4620"/>
            <w:shd w:fill="193C55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/>
            </w:pPr>
            <w:r>
              <w:rPr>
                <w:rFonts w:ascii="Noto Sans CJK KR" w:hAnsi="Noto Sans CJK KR" w:eastAsia="Noto Sans CJK KR" w:cs="Noto Sans CJK KR"/>
                <w:b/>
                <w:color w:val="FFFFFF"/>
                <w:sz w:val="18"/>
              </w:rPr>
              <w:t>검토 이유 · 영향 · 확인 필요</w:t>
            </w:r>
          </w:p>
        </w:tc>
      </w:tr>
      <w:tr>
        <w:trPr>
          <w:cantSplit/>
        </w:trPr>
        <w:tc>
          <w:tcPr>
            <w:tcW w:type="dxa" w:w="1843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26</w:t>
              <w:br/>
              <w:t>제8조 제3항</w:t>
              <w:br/>
              <w:t>별첨2</w:t>
              <w:br/>
              <w:br/>
              <w:t>협상 / 보호 범위 변경</w:t>
            </w:r>
          </w:p>
        </w:tc>
        <w:tc>
          <w:tcPr>
            <w:tcW w:type="dxa" w:w="405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유사 채널에 17,500원 이하로 제3자 유통권 부여 금지. 직영·기존 채널 등 예외 존재.</w:t>
            </w:r>
          </w:p>
        </w:tc>
        <w:tc>
          <w:tcPr>
            <w:tcW w:type="dxa" w:w="439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채널 보호 대상을 상품·채널·기간·가격 기준·예외로 별첨에서 특정. 포괄 독점·전 채널 최저가 보장은 아님.</w:t>
            </w:r>
          </w:p>
        </w:tc>
        <w:tc>
          <w:tcPr>
            <w:tcW w:type="dxa" w:w="4620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중요: 구체적 보호 조건을 합의하지 않으면 원문 수준의 가격 보호가 확보되지 않는다. 임팩시스가 필요한 보호 범위를 반드시 협상해야 한다. [O1 제8조 제2항]</w:t>
            </w:r>
          </w:p>
        </w:tc>
      </w:tr>
      <w:tr>
        <w:trPr>
          <w:cantSplit/>
        </w:trPr>
        <w:tc>
          <w:tcPr>
            <w:tcW w:type="dxa" w:w="1843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27</w:t>
              <w:br/>
              <w:t>제9조 제1~3·5항</w:t>
              <w:br/>
              <w:t>제13조 제2항</w:t>
              <w:br/>
              <w:br/>
              <w:t>보완 / 책임 조정</w:t>
            </w:r>
          </w:p>
        </w:tc>
        <w:tc>
          <w:tcPr>
            <w:tcW w:type="dxa" w:w="4054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을이 가맹점 허위 판매·중복 발권·민원·법령 위반이 발생하지 않도록 관리·감독.</w:t>
            </w:r>
          </w:p>
        </w:tc>
        <w:tc>
          <w:tcPr>
            <w:tcW w:type="dxa" w:w="4394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합리적인 계약·교육·점검 및 인지 후 조치 의무. 손해는 관리의무 위반과 귀책·인과관계 범위에서 부담.</w:t>
            </w:r>
          </w:p>
        </w:tc>
        <w:tc>
          <w:tcPr>
            <w:tcW w:type="dxa" w:w="4620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을이 모든 가맹점 행위의 무조건적 보증인으로 해석되는 위험 완화. 실제 관리·차단 조치는 여전히 필요. [O1 제9·13조]</w:t>
            </w:r>
          </w:p>
        </w:tc>
      </w:tr>
      <w:tr>
        <w:trPr>
          <w:cantSplit/>
        </w:trPr>
        <w:tc>
          <w:tcPr>
            <w:tcW w:type="dxa" w:w="1843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28</w:t>
              <w:br/>
              <w:t>제9조 제4항</w:t>
              <w:br/>
              <w:t>별첨3</w:t>
              <w:br/>
              <w:br/>
              <w:t>보완 / 법령 반영</w:t>
            </w:r>
          </w:p>
        </w:tc>
        <w:tc>
          <w:tcPr>
            <w:tcW w:type="dxa" w:w="405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을의 개인정보 적법 처리·보안조치만 포괄적으로 규정.</w:t>
            </w:r>
          </w:p>
        </w:tc>
        <w:tc>
          <w:tcPr>
            <w:tcW w:type="dxa" w:w="439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갑·을의 독립 처리, 위탁, 제3자 제공 구분. 목적·항목·재위탁 동의·감독·사고·반환·파기 약정 첨부.</w:t>
            </w:r>
          </w:p>
        </w:tc>
        <w:tc>
          <w:tcPr>
            <w:tcW w:type="dxa" w:w="4620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실제 위탁이면 문서화·공개·감독 등 의무가 별도로 필요하다. 업체명과 처리범위를 빈칸 상태로 두고 운영하면 안 된다. [O1 제9조 제2항; W3]</w:t>
            </w:r>
          </w:p>
        </w:tc>
      </w:tr>
      <w:tr>
        <w:trPr>
          <w:cantSplit/>
        </w:trPr>
        <w:tc>
          <w:tcPr>
            <w:tcW w:type="dxa" w:w="1843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29</w:t>
              <w:br/>
              <w:t>제10조</w:t>
              <w:br/>
              <w:br/>
              <w:t>구조 정정 / 보완</w:t>
            </w:r>
          </w:p>
        </w:tc>
        <w:tc>
          <w:tcPr>
            <w:tcW w:type="dxa" w:w="4054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브랜드는 남이섬, 플랫폼 IP는 을. 갑·남이섬은 결과데이터·관리자 이용.</w:t>
            </w:r>
          </w:p>
        </w:tc>
        <w:tc>
          <w:tcPr>
            <w:tcW w:type="dxa" w:w="4394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브랜드는 갑 또는 권리자, 플랫폼 IP는 을 유지. 목적별 사용허락·종료 후 자료 제공·소스코드 미포함 명시.</w:t>
            </w:r>
          </w:p>
        </w:tc>
        <w:tc>
          <w:tcPr>
            <w:tcW w:type="dxa" w:w="4620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권리자 허락 없이 상표·사진의 사용권이 생기는 것으로 보지 않음. 자료 인계와 프로그램 권리 양도를 구분. [O1 제10조]</w:t>
            </w:r>
          </w:p>
        </w:tc>
      </w:tr>
      <w:tr>
        <w:trPr>
          <w:cantSplit/>
        </w:trPr>
        <w:tc>
          <w:tcPr>
            <w:tcW w:type="dxa" w:w="1843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30</w:t>
              <w:br/>
              <w:t>제11조</w:t>
              <w:br/>
              <w:br/>
              <w:t>보완 / 기간 유지</w:t>
            </w:r>
          </w:p>
        </w:tc>
        <w:tc>
          <w:tcPr>
            <w:tcW w:type="dxa" w:w="405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상대방 정보의 누설·목적 외 사용 금지, 종료 후 3년(법정 장기 보호 별도). 예외 미규정.</w:t>
            </w:r>
          </w:p>
        </w:tc>
        <w:tc>
          <w:tcPr>
            <w:tcW w:type="dxa" w:w="439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기존 보유·공개·독자개발·적법 취득, 법적 공개 및 필요 자문 예외 추가. 3년 및 장기 보호는 유지.</w:t>
            </w:r>
          </w:p>
        </w:tc>
        <w:tc>
          <w:tcPr>
            <w:tcW w:type="dxa" w:w="4620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세무·법률 자문 또는 법정 고지까지 비밀유지 위반으로 오인하지 않도록 함. [O1 제11조]</w:t>
            </w:r>
          </w:p>
        </w:tc>
      </w:tr>
    </w:tbl>
    <w:p>
      <w:pPr>
        <w:pStyle w:val="Eyebrow"/>
        <w:keepNext w:val="0"/>
        <w:pageBreakBefore/>
      </w:pPr>
      <w:r>
        <w:rPr>
          <w:rFonts w:ascii="Noto Sans CJK KR" w:hAnsi="Noto Sans CJK KR" w:eastAsia="Noto Sans CJK KR" w:cs="Noto Sans CJK KR"/>
          <w:b w:val="0"/>
        </w:rPr>
        <w:t>상세 대조  /  31–35</w:t>
      </w:r>
    </w:p>
    <w:p>
      <w:pPr>
        <w:pStyle w:val="Heading1"/>
        <w:keepNext/>
      </w:pPr>
      <w:r>
        <w:rPr>
          <w:rFonts w:ascii="Noto Sans CJK KR" w:hAnsi="Noto Sans CJK KR" w:eastAsia="Noto Sans CJK KR" w:cs="Noto Sans CJK KR"/>
          <w:b w:val="0"/>
        </w:rPr>
        <w:t>조항별 전후 대조표 7</w:t>
      </w:r>
    </w:p>
    <w:p>
      <w:pPr>
        <w:pStyle w:val="Note"/>
        <w:keepNext w:val="0"/>
      </w:pPr>
      <w:r>
        <w:rPr>
          <w:rFonts w:ascii="Noto Sans CJK KR" w:hAnsi="Noto Sans CJK KR" w:eastAsia="Noto Sans CJK KR" w:cs="Noto Sans CJK KR"/>
          <w:b w:val="0"/>
        </w:rPr>
        <w:t>변경 전은 원문 요지이며, 따옴표 표시 부분만 발췌 인용이다. 변경 후 역시 핵심 문구의 요지로, 전체 효력·예외는 수정안 본문 및 별첨을 함께 읽는다.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43"/>
        <w:gridCol w:w="4054"/>
        <w:gridCol w:w="4394"/>
        <w:gridCol w:w="4620"/>
      </w:tblGrid>
      <w:tr>
        <w:trPr>
          <w:tblHeader/>
          <w:cantSplit/>
        </w:trPr>
        <w:tc>
          <w:tcPr>
            <w:tcW w:type="dxa" w:w="1843"/>
            <w:shd w:fill="193C55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/>
            </w:pPr>
            <w:r>
              <w:rPr>
                <w:rFonts w:ascii="Noto Sans CJK KR" w:hAnsi="Noto Sans CJK KR" w:eastAsia="Noto Sans CJK KR" w:cs="Noto Sans CJK KR"/>
                <w:b/>
                <w:color w:val="FFFFFF"/>
                <w:sz w:val="18"/>
              </w:rPr>
              <w:t>번호 · 위치 · 구분</w:t>
            </w:r>
          </w:p>
        </w:tc>
        <w:tc>
          <w:tcPr>
            <w:tcW w:type="dxa" w:w="4054"/>
            <w:shd w:fill="193C55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/>
            </w:pPr>
            <w:r>
              <w:rPr>
                <w:rFonts w:ascii="Noto Sans CJK KR" w:hAnsi="Noto Sans CJK KR" w:eastAsia="Noto Sans CJK KR" w:cs="Noto Sans CJK KR"/>
                <w:b/>
                <w:color w:val="FFFFFF"/>
                <w:sz w:val="18"/>
              </w:rPr>
              <w:t>변경 전 / 원문 요지</w:t>
            </w:r>
          </w:p>
        </w:tc>
        <w:tc>
          <w:tcPr>
            <w:tcW w:type="dxa" w:w="4394"/>
            <w:shd w:fill="193C55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/>
            </w:pPr>
            <w:r>
              <w:rPr>
                <w:rFonts w:ascii="Noto Sans CJK KR" w:hAnsi="Noto Sans CJK KR" w:eastAsia="Noto Sans CJK KR" w:cs="Noto Sans CJK KR"/>
                <w:b/>
                <w:color w:val="FFFFFF"/>
                <w:sz w:val="18"/>
              </w:rPr>
              <w:t>변경 후 / 수정안 요지</w:t>
            </w:r>
          </w:p>
        </w:tc>
        <w:tc>
          <w:tcPr>
            <w:tcW w:type="dxa" w:w="4620"/>
            <w:shd w:fill="193C55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/>
            </w:pPr>
            <w:r>
              <w:rPr>
                <w:rFonts w:ascii="Noto Sans CJK KR" w:hAnsi="Noto Sans CJK KR" w:eastAsia="Noto Sans CJK KR" w:cs="Noto Sans CJK KR"/>
                <w:b/>
                <w:color w:val="FFFFFF"/>
                <w:sz w:val="18"/>
              </w:rPr>
              <w:t>검토 이유 · 영향 · 확인 필요</w:t>
            </w:r>
          </w:p>
        </w:tc>
      </w:tr>
      <w:tr>
        <w:trPr>
          <w:cantSplit/>
        </w:trPr>
        <w:tc>
          <w:tcPr>
            <w:tcW w:type="dxa" w:w="1843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31</w:t>
              <w:br/>
              <w:t>제12조 제1~3항</w:t>
              <w:br/>
              <w:br/>
              <w:t>보완 / 해지 요건 조정</w:t>
            </w:r>
          </w:p>
        </w:tc>
        <w:tc>
          <w:tcPr>
            <w:tcW w:type="dxa" w:w="405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14일 시정 원칙이나 정산 지체·오류·개인정보 유출·회생/파산 신청 등은 즉시 해지 가능.</w:t>
            </w:r>
          </w:p>
        </w:tc>
        <w:tc>
          <w:tcPr>
            <w:tcW w:type="dxa" w:w="439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경미·시정 가능한 위반은 최고 절차. 회복 곤란한 중대 위반·객관적 이행불능은 즉시 해지.</w:t>
            </w:r>
          </w:p>
        </w:tc>
        <w:tc>
          <w:tcPr>
            <w:tcW w:type="dxa" w:w="4620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모든 지연·신청만으로 즉시 종료되는 위험 조정. 공급 권한 상실의 귀책 다툼과 소비자 피해 차단은 분리. [O1 제12조 제1항]</w:t>
            </w:r>
          </w:p>
        </w:tc>
      </w:tr>
      <w:tr>
        <w:trPr>
          <w:cantSplit/>
        </w:trPr>
        <w:tc>
          <w:tcPr>
            <w:tcW w:type="dxa" w:w="1843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32</w:t>
              <w:br/>
              <w:t>제12조 제4~6항</w:t>
              <w:br/>
              <w:br/>
              <w:t>보완</w:t>
            </w:r>
          </w:p>
        </w:tc>
        <w:tc>
          <w:tcPr>
            <w:tcW w:type="dxa" w:w="4054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30일 내 미정산금 지급. 소비자 고지도 30일 내, “환불 가능 기간”은 구체적 기준 없음.</w:t>
            </w:r>
          </w:p>
        </w:tc>
        <w:tc>
          <w:tcPr>
            <w:tcW w:type="dxa" w:w="4394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신규 판매 중단·소비자 고지는 지체 없이. 이견 없는 미정산금은 30일 내, 환불 가능한 대금은 별도 관리.</w:t>
            </w:r>
          </w:p>
        </w:tc>
        <w:tc>
          <w:tcPr>
            <w:tcW w:type="dxa" w:w="4620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30일 기업 간 정산기한을 소비자 환불청구 제한이나 지급 지연의 근거로 사용하지 않도록 함. [O1 제12조 제2항]</w:t>
            </w:r>
          </w:p>
        </w:tc>
      </w:tr>
      <w:tr>
        <w:trPr>
          <w:cantSplit/>
        </w:trPr>
        <w:tc>
          <w:tcPr>
            <w:tcW w:type="dxa" w:w="1843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33</w:t>
              <w:br/>
              <w:t>제12조 제7·8항</w:t>
              <w:br/>
              <w:br/>
              <w:t>보완 / 회수 조건 유지</w:t>
            </w:r>
          </w:p>
        </w:tc>
        <w:tc>
          <w:tcPr>
            <w:tcW w:type="dxa" w:w="405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을 철거비 부담, 갑 귀책 시 갑 부담. 갑 귀책 종료 시 미회수 구축·설치·가맹점 모집비 배상.</w:t>
            </w:r>
          </w:p>
        </w:tc>
        <w:tc>
          <w:tcPr>
            <w:tcW w:type="dxa" w:w="439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기본 비용 배분 유지. 미회수 비용에서 기회수액·재사용/처분 가능 잔존가치·중복 배상액 제외.</w:t>
            </w:r>
          </w:p>
        </w:tc>
        <w:tc>
          <w:tcPr>
            <w:tcW w:type="dxa" w:w="4620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갑 귀책 시 초기 투자 회수 보호를 남기되 증빙·실손 범위를 명확히 함. 기대이익 배제는 통상 귀책 해지에 유지. [O1 제12조 제2항]</w:t>
            </w:r>
          </w:p>
        </w:tc>
      </w:tr>
      <w:tr>
        <w:trPr>
          <w:cantSplit/>
        </w:trPr>
        <w:tc>
          <w:tcPr>
            <w:tcW w:type="dxa" w:w="1843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34</w:t>
              <w:br/>
              <w:t>제13조</w:t>
              <w:br/>
              <w:br/>
              <w:t>보완 / 책임 구분</w:t>
            </w:r>
          </w:p>
        </w:tc>
        <w:tc>
          <w:tcPr>
            <w:tcW w:type="dxa" w:w="4054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통상손해 배상, 고의·중과실 등 예외. 플랫폼·가맹점 관련 손해는 을 책임, 외부 원인 제외.</w:t>
            </w:r>
          </w:p>
        </w:tc>
        <w:tc>
          <w:tcPr>
            <w:tcW w:type="dxa" w:w="4394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갑 현장·공급/을 시스템·관리 영역 구분, 혼합 원인 분담. 외부 장애라도 예방·복구 의무 위반은 면책하지 않음.</w:t>
            </w:r>
          </w:p>
        </w:tc>
        <w:tc>
          <w:tcPr>
            <w:tcW w:type="dxa" w:w="4620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통신망 장애나 불가항력을 포괄 면책으로 쓰지 않음. 손해배상 상한액이나 새로운 위약금은 임의로 설정하지 않았다. [O1 제13조]</w:t>
            </w:r>
          </w:p>
        </w:tc>
      </w:tr>
      <w:tr>
        <w:trPr>
          <w:cantSplit/>
        </w:trPr>
        <w:tc>
          <w:tcPr>
            <w:tcW w:type="dxa" w:w="1843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35</w:t>
              <w:br/>
              <w:t>제14조</w:t>
              <w:br/>
              <w:br/>
              <w:t>유지</w:t>
            </w:r>
          </w:p>
        </w:tc>
        <w:tc>
          <w:tcPr>
            <w:tcW w:type="dxa" w:w="405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협의 우선, 민사소송법상 관할 법원. 별도 합의 시 춘천지방법원.</w:t>
            </w:r>
          </w:p>
        </w:tc>
        <w:tc>
          <w:tcPr>
            <w:tcW w:type="dxa" w:w="439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원문 구조 유지.</w:t>
            </w:r>
          </w:p>
        </w:tc>
        <w:tc>
          <w:tcPr>
            <w:tcW w:type="dxa" w:w="4620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춘천지방법원을 상대방 동의 없이 전속관할로 변경하지 않음. 필요하면 별도 서면 합의한다. [O1 제14조]</w:t>
            </w:r>
          </w:p>
        </w:tc>
      </w:tr>
    </w:tbl>
    <w:p>
      <w:pPr>
        <w:pStyle w:val="Eyebrow"/>
        <w:keepNext w:val="0"/>
        <w:pageBreakBefore/>
      </w:pPr>
      <w:r>
        <w:rPr>
          <w:rFonts w:ascii="Noto Sans CJK KR" w:hAnsi="Noto Sans CJK KR" w:eastAsia="Noto Sans CJK KR" w:cs="Noto Sans CJK KR"/>
          <w:b w:val="0"/>
        </w:rPr>
        <w:t>상세 대조  /  36–40</w:t>
      </w:r>
    </w:p>
    <w:p>
      <w:pPr>
        <w:pStyle w:val="Heading1"/>
        <w:keepNext/>
      </w:pPr>
      <w:r>
        <w:rPr>
          <w:rFonts w:ascii="Noto Sans CJK KR" w:hAnsi="Noto Sans CJK KR" w:eastAsia="Noto Sans CJK KR" w:cs="Noto Sans CJK KR"/>
          <w:b w:val="0"/>
        </w:rPr>
        <w:t>조항별 전후 대조표 8</w:t>
      </w:r>
    </w:p>
    <w:p>
      <w:pPr>
        <w:pStyle w:val="Note"/>
        <w:keepNext w:val="0"/>
      </w:pPr>
      <w:r>
        <w:rPr>
          <w:rFonts w:ascii="Noto Sans CJK KR" w:hAnsi="Noto Sans CJK KR" w:eastAsia="Noto Sans CJK KR" w:cs="Noto Sans CJK KR"/>
          <w:b w:val="0"/>
        </w:rPr>
        <w:t>변경 전은 원문 요지이며, 따옴표 표시 부분만 발췌 인용이다. 변경 후 역시 핵심 문구의 요지로, 전체 효력·예외는 수정안 본문 및 별첨을 함께 읽는다.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43"/>
        <w:gridCol w:w="4054"/>
        <w:gridCol w:w="4394"/>
        <w:gridCol w:w="4620"/>
      </w:tblGrid>
      <w:tr>
        <w:trPr>
          <w:tblHeader/>
          <w:cantSplit/>
        </w:trPr>
        <w:tc>
          <w:tcPr>
            <w:tcW w:type="dxa" w:w="1843"/>
            <w:shd w:fill="193C55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/>
            </w:pPr>
            <w:r>
              <w:rPr>
                <w:rFonts w:ascii="Noto Sans CJK KR" w:hAnsi="Noto Sans CJK KR" w:eastAsia="Noto Sans CJK KR" w:cs="Noto Sans CJK KR"/>
                <w:b/>
                <w:color w:val="FFFFFF"/>
                <w:sz w:val="18"/>
              </w:rPr>
              <w:t>번호 · 위치 · 구분</w:t>
            </w:r>
          </w:p>
        </w:tc>
        <w:tc>
          <w:tcPr>
            <w:tcW w:type="dxa" w:w="4054"/>
            <w:shd w:fill="193C55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/>
            </w:pPr>
            <w:r>
              <w:rPr>
                <w:rFonts w:ascii="Noto Sans CJK KR" w:hAnsi="Noto Sans CJK KR" w:eastAsia="Noto Sans CJK KR" w:cs="Noto Sans CJK KR"/>
                <w:b/>
                <w:color w:val="FFFFFF"/>
                <w:sz w:val="18"/>
              </w:rPr>
              <w:t>변경 전 / 원문 요지</w:t>
            </w:r>
          </w:p>
        </w:tc>
        <w:tc>
          <w:tcPr>
            <w:tcW w:type="dxa" w:w="4394"/>
            <w:shd w:fill="193C55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/>
            </w:pPr>
            <w:r>
              <w:rPr>
                <w:rFonts w:ascii="Noto Sans CJK KR" w:hAnsi="Noto Sans CJK KR" w:eastAsia="Noto Sans CJK KR" w:cs="Noto Sans CJK KR"/>
                <w:b/>
                <w:color w:val="FFFFFF"/>
                <w:sz w:val="18"/>
              </w:rPr>
              <w:t>변경 후 / 수정안 요지</w:t>
            </w:r>
          </w:p>
        </w:tc>
        <w:tc>
          <w:tcPr>
            <w:tcW w:type="dxa" w:w="4620"/>
            <w:shd w:fill="193C55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/>
            </w:pPr>
            <w:r>
              <w:rPr>
                <w:rFonts w:ascii="Noto Sans CJK KR" w:hAnsi="Noto Sans CJK KR" w:eastAsia="Noto Sans CJK KR" w:cs="Noto Sans CJK KR"/>
                <w:b/>
                <w:color w:val="FFFFFF"/>
                <w:sz w:val="18"/>
              </w:rPr>
              <w:t>검토 이유 · 영향 · 확인 필요</w:t>
            </w:r>
          </w:p>
        </w:tc>
      </w:tr>
      <w:tr>
        <w:trPr>
          <w:cantSplit/>
        </w:trPr>
        <w:tc>
          <w:tcPr>
            <w:tcW w:type="dxa" w:w="1843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36</w:t>
              <w:br/>
              <w:t>제15조</w:t>
              <w:br/>
              <w:t>별첨1·2·3</w:t>
              <w:br/>
              <w:br/>
              <w:t>누락 보완</w:t>
            </w:r>
          </w:p>
        </w:tc>
        <w:tc>
          <w:tcPr>
            <w:tcW w:type="dxa" w:w="405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별첨1 “리모밸리패스 정산프로세스”를 계약 일부로 정했으나 제공 파일에 실제 별첨 없음.</w:t>
            </w:r>
          </w:p>
        </w:tc>
        <w:tc>
          <w:tcPr>
            <w:tcW w:type="dxa" w:w="439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상품·정산 조건/프로세스, 운영·장비·채널 보호, 개인정보 구분·위탁 약정을 실제 첨부.</w:t>
            </w:r>
          </w:p>
        </w:tc>
        <w:tc>
          <w:tcPr>
            <w:tcW w:type="dxa" w:w="4620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이름만 있는 별첨을 근거로 의무를 추정하지 않음. 각 확정서의 버전·필수값·승인을 확인한다. [O1 8쪽 제15조]</w:t>
            </w:r>
          </w:p>
        </w:tc>
      </w:tr>
      <w:tr>
        <w:trPr>
          <w:cantSplit/>
        </w:trPr>
        <w:tc>
          <w:tcPr>
            <w:tcW w:type="dxa" w:w="1843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37</w:t>
              <w:br/>
              <w:t>제15조 제2·3항</w:t>
              <w:br/>
              <w:t>제16조 제1항</w:t>
              <w:br/>
              <w:br/>
              <w:t>구조 정정 / 보완</w:t>
            </w:r>
          </w:p>
        </w:tc>
        <w:tc>
          <w:tcPr>
            <w:tcW w:type="dxa" w:w="4054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본문 우선, 별도 합의 우선. 미기재 사항은 갑-남이섬 계약 및 상관례에도 따름.</w:t>
            </w:r>
          </w:p>
        </w:tc>
        <w:tc>
          <w:tcPr>
            <w:tcW w:type="dxa" w:w="4394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변경 조항을 특정한 후속 서면 합의 우선. 제3자 계약·외부 정책·제안서는 자동 편입하지 않음.</w:t>
            </w:r>
          </w:p>
        </w:tc>
        <w:tc>
          <w:tcPr>
            <w:tcW w:type="dxa" w:w="4620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알지 못하는 상위 계약에 을이 구속되거나 제안서 수익예시가 계약으로 간주되는 위험 방지. [O1 제15·16조]</w:t>
            </w:r>
          </w:p>
        </w:tc>
      </w:tr>
      <w:tr>
        <w:trPr>
          <w:cantSplit/>
        </w:trPr>
        <w:tc>
          <w:tcPr>
            <w:tcW w:type="dxa" w:w="1843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38</w:t>
              <w:br/>
              <w:t>제16조 제2~4항</w:t>
              <w:br/>
              <w:t>제12조 제9항</w:t>
              <w:br/>
              <w:br/>
              <w:t>보완</w:t>
            </w:r>
          </w:p>
        </w:tc>
        <w:tc>
          <w:tcPr>
            <w:tcW w:type="dxa" w:w="405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계약 수정은 서면, 2부 보관. 통지 수령·담당자·개인정보 인계 등의 구체 절차 부족.</w:t>
            </w:r>
          </w:p>
        </w:tc>
        <w:tc>
          <w:tcPr>
            <w:tcW w:type="dxa" w:w="439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권한 있는 서면·전자서명, 지정 이메일 통지, 중요 요청 진위 확인, 전자계약 및 종료 후 의무 존속.</w:t>
            </w:r>
          </w:p>
        </w:tc>
        <w:tc>
          <w:tcPr>
            <w:tcW w:type="dxa" w:w="4620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운영 이메일과 계약 변경 권한을 구분. 개인정보·미사용권·자료 인계는 계약 종료 후에도 필요한 범위에서 계속. [O1 제12·16조]</w:t>
            </w:r>
          </w:p>
        </w:tc>
      </w:tr>
      <w:tr>
        <w:trPr>
          <w:cantSplit/>
        </w:trPr>
        <w:tc>
          <w:tcPr>
            <w:tcW w:type="dxa" w:w="1843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39</w:t>
              <w:br/>
              <w:t>제2·4·7조</w:t>
              <w:br/>
              <w:t>별첨1-3</w:t>
              <w:br/>
              <w:br/>
              <w:t>참고자료 차이 / 선택</w:t>
            </w:r>
          </w:p>
        </w:tc>
        <w:tc>
          <w:tcPr>
            <w:tcW w:type="dxa" w:w="4054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계약 원문: 실제 입장 때 공급단가 정산. 삼양 제안서: 판매 시점 확정·사후정산 제거를 설명.</w:t>
            </w:r>
          </w:p>
        </w:tc>
        <w:tc>
          <w:tcPr>
            <w:tcW w:type="dxa" w:w="4394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계약은 원문의 입장 기준을 유지하고, 판매 즉시 발권/집계와 최종 지급을 명확히 구분.</w:t>
            </w:r>
          </w:p>
        </w:tc>
        <w:tc>
          <w:tcPr>
            <w:tcW w:type="dxa" w:w="4620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제안 내용을 그대로 확정계약으로 바꾸지 않았다. 판매 기준을 택하면 미사용 공급단가와 환불·선지급 책임부터 재설계. [O1 제4·7조; P1 16~17쪽]</w:t>
            </w:r>
          </w:p>
        </w:tc>
      </w:tr>
      <w:tr>
        <w:trPr>
          <w:cantSplit/>
        </w:trPr>
        <w:tc>
          <w:tcPr>
            <w:tcW w:type="dxa" w:w="1843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40</w:t>
              <w:br/>
              <w:t>별첨1·검토 범위</w:t>
              <w:br/>
              <w:br/>
              <w:t>참고자료 차이 / 미확정</w:t>
            </w:r>
          </w:p>
        </w:tc>
        <w:tc>
          <w:tcPr>
            <w:tcW w:type="dxa" w:w="405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삼양 제안서 17쪽 기본권 예시는 12,000/10,000/1,000/1,000원. 20쪽 A/B 예시는 별도 가격·배분.</w:t>
            </w:r>
          </w:p>
        </w:tc>
        <w:tc>
          <w:tcPr>
            <w:tcW w:type="dxa" w:w="4394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어느 예시도 새 계약의 확정 가격으로 채택하지 않았다. 상품·채널별 가격, 가맹점 대가, 비용·배분 모델을 별첨에서 선택.</w:t>
            </w:r>
          </w:p>
        </w:tc>
        <w:tc>
          <w:tcPr>
            <w:tcW w:type="dxa" w:w="4620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자료 자체도 협의용 예시라고 밝힘. 정액 플랫폼료와 원문 구간별 수익배분을 중복 부과하지 않도록 확인. [P1 17·20쪽]</w:t>
            </w:r>
          </w:p>
        </w:tc>
      </w:tr>
    </w:tbl>
    <w:p>
      <w:pPr>
        <w:pStyle w:val="Eyebrow"/>
        <w:keepNext w:val="0"/>
        <w:pageBreakBefore/>
      </w:pPr>
      <w:r>
        <w:rPr>
          <w:rFonts w:ascii="Noto Sans CJK KR" w:hAnsi="Noto Sans CJK KR" w:eastAsia="Noto Sans CJK KR" w:cs="Noto Sans CJK KR"/>
          <w:b w:val="0"/>
        </w:rPr>
        <w:t>체결 전 확인  /  상업조건을 자동 확정하지 않음</w:t>
      </w:r>
    </w:p>
    <w:p>
      <w:pPr>
        <w:pStyle w:val="Heading1"/>
        <w:keepNext/>
      </w:pPr>
      <w:r>
        <w:rPr>
          <w:rFonts w:ascii="Noto Sans CJK KR" w:hAnsi="Noto Sans CJK KR" w:eastAsia="Noto Sans CJK KR" w:cs="Noto Sans CJK KR"/>
          <w:b w:val="0"/>
        </w:rPr>
        <w:t>상대방과 확정할 사항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91"/>
        <w:gridCol w:w="3402"/>
        <w:gridCol w:w="10318"/>
      </w:tblGrid>
      <w:tr>
        <w:trPr>
          <w:tblHeader/>
          <w:cantSplit/>
        </w:trPr>
        <w:tc>
          <w:tcPr>
            <w:tcW w:type="dxa" w:w="1191"/>
            <w:shd w:fill="193C55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/>
            </w:pPr>
            <w:r>
              <w:rPr>
                <w:rFonts w:ascii="Noto Sans CJK KR" w:hAnsi="Noto Sans CJK KR" w:eastAsia="Noto Sans CJK KR" w:cs="Noto Sans CJK KR"/>
                <w:b/>
                <w:color w:val="FFFFFF"/>
                <w:sz w:val="18"/>
              </w:rPr>
              <w:t>우선순위</w:t>
            </w:r>
          </w:p>
        </w:tc>
        <w:tc>
          <w:tcPr>
            <w:tcW w:type="dxa" w:w="3402"/>
            <w:shd w:fill="193C55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/>
            </w:pPr>
            <w:r>
              <w:rPr>
                <w:rFonts w:ascii="Noto Sans CJK KR" w:hAnsi="Noto Sans CJK KR" w:eastAsia="Noto Sans CJK KR" w:cs="Noto Sans CJK KR"/>
                <w:b/>
                <w:color w:val="FFFFFF"/>
                <w:sz w:val="18"/>
              </w:rPr>
              <w:t>확인할 내용</w:t>
            </w:r>
          </w:p>
        </w:tc>
        <w:tc>
          <w:tcPr>
            <w:tcW w:type="dxa" w:w="10318"/>
            <w:shd w:fill="193C55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/>
            </w:pPr>
            <w:r>
              <w:rPr>
                <w:rFonts w:ascii="Noto Sans CJK KR" w:hAnsi="Noto Sans CJK KR" w:eastAsia="Noto Sans CJK KR" w:cs="Noto Sans CJK KR"/>
                <w:b/>
                <w:color w:val="FFFFFF"/>
                <w:sz w:val="18"/>
              </w:rPr>
              <w:t>현재 처리 상태 및 권장 증빙</w:t>
            </w:r>
          </w:p>
        </w:tc>
      </w:tr>
      <w:tr>
        <w:trPr>
          <w:cantSplit/>
        </w:trPr>
        <w:tc>
          <w:tcPr>
            <w:tcW w:type="dxa" w:w="1191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필수 1</w:t>
            </w:r>
          </w:p>
        </w:tc>
        <w:tc>
          <w:tcPr>
            <w:tcW w:type="dxa" w:w="3402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계약자·대표권·수령계좌</w:t>
            </w:r>
          </w:p>
        </w:tc>
        <w:tc>
          <w:tcPr>
            <w:tcW w:type="dxa" w:w="10318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직접 계약 전제로 작성. 갑의 법인등기·사업자등록증·위임장 및 계좌 증빙을 받아 본문·서명란을 일치시킨다.</w:t>
            </w:r>
          </w:p>
        </w:tc>
      </w:tr>
      <w:tr>
        <w:trPr>
          <w:cantSplit/>
        </w:trPr>
        <w:tc>
          <w:tcPr>
            <w:tcW w:type="dxa" w:w="1191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필수 2</w:t>
            </w:r>
          </w:p>
        </w:tc>
        <w:tc>
          <w:tcPr>
            <w:tcW w:type="dxa" w:w="3402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정산 기준 선택</w:t>
            </w:r>
          </w:p>
        </w:tc>
        <w:tc>
          <w:tcPr>
            <w:tcW w:type="dxa" w:w="10318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입장 기준 유지안. 판매 기준 채택 시 제2·4·7조 및 별첨1을 동시에 수정한다. PG 선지급 여부와 환불 재원을 같이 정한다.</w:t>
            </w:r>
          </w:p>
        </w:tc>
      </w:tr>
      <w:tr>
        <w:trPr>
          <w:cantSplit/>
        </w:trPr>
        <w:tc>
          <w:tcPr>
            <w:tcW w:type="dxa" w:w="1191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필수 3</w:t>
            </w:r>
          </w:p>
        </w:tc>
        <w:tc>
          <w:tcPr>
            <w:tcW w:type="dxa" w:w="3402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상품·채널별 단가와 세금</w:t>
            </w:r>
          </w:p>
        </w:tc>
        <w:tc>
          <w:tcPr>
            <w:tcW w:type="dxa" w:w="10318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권종·이용조건·정가·판매 기준가·공급단가·비용의 부가세 포함/별도 여부를 확정한다. 실제 가격은 빈칸 상태다.</w:t>
            </w:r>
          </w:p>
        </w:tc>
      </w:tr>
      <w:tr>
        <w:trPr>
          <w:cantSplit/>
        </w:trPr>
        <w:tc>
          <w:tcPr>
            <w:tcW w:type="dxa" w:w="1191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필수 4</w:t>
            </w:r>
          </w:p>
        </w:tc>
        <w:tc>
          <w:tcPr>
            <w:tcW w:type="dxa" w:w="3402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수익모델·가맹점 보상</w:t>
            </w:r>
          </w:p>
        </w:tc>
        <w:tc>
          <w:tcPr>
            <w:tcW w:type="dxa" w:w="10318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원문 구간 배분을 유지할지, 제안서의 정액/정률 플랫폼료 모델로 대체할지 선택한다. 같은 비용·보수를 두 번 차감하지 않는다.</w:t>
            </w:r>
          </w:p>
        </w:tc>
      </w:tr>
      <w:tr>
        <w:trPr>
          <w:cantSplit/>
        </w:trPr>
        <w:tc>
          <w:tcPr>
            <w:tcW w:type="dxa" w:w="1191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필수 5</w:t>
            </w:r>
          </w:p>
        </w:tc>
        <w:tc>
          <w:tcPr>
            <w:tcW w:type="dxa" w:w="3402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배분율·집계·기간</w:t>
            </w:r>
          </w:p>
        </w:tc>
        <w:tc>
          <w:tcPr>
            <w:tcW w:type="dxa" w:w="10318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원안 4개 구간 및 3만 매 초과 50:50 신규 제안은 승인 전 미확정. 월 합산·입장 순서·상품 범위를 확인한다.</w:t>
            </w:r>
          </w:p>
        </w:tc>
      </w:tr>
      <w:tr>
        <w:trPr>
          <w:cantSplit/>
        </w:trPr>
        <w:tc>
          <w:tcPr>
            <w:tcW w:type="dxa" w:w="1191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필수 6</w:t>
            </w:r>
          </w:p>
        </w:tc>
        <w:tc>
          <w:tcPr>
            <w:tcW w:type="dxa" w:w="3402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유효기간·환불·미사용</w:t>
            </w:r>
          </w:p>
        </w:tc>
        <w:tc>
          <w:tcPr>
            <w:tcW w:type="dxa" w:w="10318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90일 자동 수익화 삭제. 실제 상품 유형에 맞는 약관·구매화면·만료 후 권리·잔액 유보 및 반환 경로를 확정한다.</w:t>
            </w:r>
          </w:p>
        </w:tc>
      </w:tr>
      <w:tr>
        <w:trPr>
          <w:cantSplit/>
        </w:trPr>
        <w:tc>
          <w:tcPr>
            <w:tcW w:type="dxa" w:w="1191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필수 7</w:t>
            </w:r>
          </w:p>
        </w:tc>
        <w:tc>
          <w:tcPr>
            <w:tcW w:type="dxa" w:w="3402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소비자 판매자·증빙</w:t>
            </w:r>
          </w:p>
        </w:tc>
        <w:tc>
          <w:tcPr>
            <w:tcW w:type="dxa" w:w="10318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QR 소개형과 POS형의 판매자·카드 명의·공급관계·영수증/세금계산서 발행 주체를 실제 흐름으로 세무 검토한다.</w:t>
            </w:r>
          </w:p>
        </w:tc>
      </w:tr>
      <w:tr>
        <w:trPr>
          <w:cantSplit/>
        </w:trPr>
        <w:tc>
          <w:tcPr>
            <w:tcW w:type="dxa" w:w="1191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필수 8</w:t>
            </w:r>
          </w:p>
        </w:tc>
        <w:tc>
          <w:tcPr>
            <w:tcW w:type="dxa" w:w="3402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정산일·PG 지급 주기</w:t>
            </w:r>
          </w:p>
        </w:tc>
        <w:tc>
          <w:tcPr>
            <w:tcW w:type="dxa" w:w="10318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익월 5일 명세·10일 지급안과 실제 PG 일정의 일치 여부를 확인한다. 지연 시 을의 지급 책임이 남는 점에 주의한다.</w:t>
            </w:r>
          </w:p>
        </w:tc>
      </w:tr>
      <w:tr>
        <w:trPr>
          <w:cantSplit/>
        </w:trPr>
        <w:tc>
          <w:tcPr>
            <w:tcW w:type="dxa" w:w="1191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중요 9</w:t>
            </w:r>
          </w:p>
        </w:tc>
        <w:tc>
          <w:tcPr>
            <w:tcW w:type="dxa" w:w="3402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채널 보호·계약기간</w:t>
            </w:r>
          </w:p>
        </w:tc>
        <w:tc>
          <w:tcPr>
            <w:tcW w:type="dxa" w:w="10318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2027.12.31 만료·60일 통지·1년 연장은 승계 제안. 필요한 독점/가격 보호 범위와 예외를 별첨2에 구체화한다.</w:t>
            </w:r>
          </w:p>
        </w:tc>
      </w:tr>
      <w:tr>
        <w:trPr>
          <w:cantSplit/>
        </w:trPr>
        <w:tc>
          <w:tcPr>
            <w:tcW w:type="dxa" w:w="1191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중요 10</w:t>
            </w:r>
          </w:p>
        </w:tc>
        <w:tc>
          <w:tcPr>
            <w:tcW w:type="dxa" w:w="3402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장비·개발·현장 운영</w:t>
            </w:r>
          </w:p>
        </w:tc>
        <w:tc>
          <w:tcPr>
            <w:tcW w:type="dxa" w:w="10318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수량·소유자·추가 견적·네트워크·현장 인력·장애 대체 절차·접수 및 지원 범위를 확정한다.</w:t>
            </w:r>
          </w:p>
        </w:tc>
      </w:tr>
      <w:tr>
        <w:trPr>
          <w:cantSplit/>
        </w:trPr>
        <w:tc>
          <w:tcPr>
            <w:tcW w:type="dxa" w:w="1191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필수 11</w:t>
            </w:r>
          </w:p>
        </w:tc>
        <w:tc>
          <w:tcPr>
            <w:tcW w:type="dxa" w:w="3402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개인정보 위탁·제공</w:t>
            </w:r>
          </w:p>
        </w:tc>
        <w:tc>
          <w:tcPr>
            <w:tcW w:type="dxa" w:w="10318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수집 최소 항목·처리 역할·결제/메시지/호스팅 업체·재위탁·국외이전 여부·보존/파기·공개문서를 확정한다.</w:t>
            </w:r>
          </w:p>
        </w:tc>
      </w:tr>
    </w:tbl>
    <w:p>
      <w:pPr>
        <w:pStyle w:val="Eyebrow"/>
        <w:keepNext w:val="0"/>
        <w:pageBreakBefore/>
      </w:pPr>
      <w:r>
        <w:rPr>
          <w:rFonts w:ascii="Noto Sans CJK KR" w:hAnsi="Noto Sans CJK KR" w:eastAsia="Noto Sans CJK KR" w:cs="Noto Sans CJK KR"/>
          <w:b w:val="0"/>
        </w:rPr>
        <w:t>근거 및 한계  /  조회 기준일 2026.09.30</w:t>
      </w:r>
    </w:p>
    <w:p>
      <w:pPr>
        <w:pStyle w:val="Heading1"/>
        <w:keepNext/>
      </w:pPr>
      <w:r>
        <w:rPr>
          <w:rFonts w:ascii="Noto Sans CJK KR" w:hAnsi="Noto Sans CJK KR" w:eastAsia="Noto Sans CJK KR" w:cs="Noto Sans CJK KR"/>
          <w:b w:val="0"/>
        </w:rPr>
        <w:t>참고자료와 검토의 경계</w:t>
      </w:r>
    </w:p>
    <w:p>
      <w:pPr>
        <w:pStyle w:val="Heading2"/>
        <w:keepNext/>
      </w:pPr>
      <w:r>
        <w:rPr>
          <w:rFonts w:ascii="Noto Sans CJK KR" w:hAnsi="Noto Sans CJK KR" w:eastAsia="Noto Sans CJK KR" w:cs="Noto Sans CJK KR"/>
          <w:b w:val="0"/>
        </w:rPr>
        <w:t>1. 원문·기존 제안서</w:t>
      </w:r>
    </w:p>
    <w:p>
      <w:pPr>
        <w:keepNext w:val="0"/>
      </w:pPr>
      <w:r>
        <w:rPr>
          <w:rFonts w:ascii="Noto Sans CJK KR" w:hAnsi="Noto Sans CJK KR" w:eastAsia="Noto Sans CJK KR" w:cs="Noto Sans CJK KR"/>
          <w:b w:val="0"/>
        </w:rPr>
        <w:t>[O1] 제공 계약서: ITC_임팩시스_계약서_260529_20260608.docx, 총 8쪽. 본문·표·서명란 전체를 기준으로 검토하였다. 별첨1 정산프로세스는 언급만 있고 이 파일에 포함되어 있지 않다.</w:t>
      </w:r>
    </w:p>
    <w:p>
      <w:pPr>
        <w:keepNext w:val="0"/>
      </w:pPr>
      <w:r>
        <w:rPr>
          <w:rFonts w:ascii="Noto Sans CJK KR" w:hAnsi="Noto Sans CJK KR" w:eastAsia="Noto Sans CJK KR" w:cs="Noto Sans CJK KR"/>
          <w:b w:val="0"/>
        </w:rPr>
        <w:t>[P1] 기존 Library 자료: imVenue_삼양라운드힐_관광디지털_디자인수정본.pptx. 표지 및 15~18·20쪽의 제안 내용을 교차 확인하였다. 이 자료는 계약서가 아니며, 가격·수수료·가맹점 수익에 “협의용 예시” 또는 “협의 후 확정” 표시가 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6520"/>
        <w:gridCol w:w="6350"/>
      </w:tblGrid>
      <w:tr>
        <w:trPr>
          <w:tblHeader/>
          <w:cantSplit/>
        </w:trPr>
        <w:tc>
          <w:tcPr>
            <w:tcW w:type="dxa" w:w="2041"/>
            <w:shd w:fill="193C55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/>
            </w:pPr>
            <w:r>
              <w:rPr>
                <w:rFonts w:ascii="Noto Sans CJK KR" w:hAnsi="Noto Sans CJK KR" w:eastAsia="Noto Sans CJK KR" w:cs="Noto Sans CJK KR"/>
                <w:b/>
                <w:color w:val="FFFFFF"/>
                <w:sz w:val="18"/>
              </w:rPr>
              <w:t>제안서의 예시</w:t>
            </w:r>
          </w:p>
        </w:tc>
        <w:tc>
          <w:tcPr>
            <w:tcW w:type="dxa" w:w="6520"/>
            <w:shd w:fill="193C55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/>
            </w:pPr>
            <w:r>
              <w:rPr>
                <w:rFonts w:ascii="Noto Sans CJK KR" w:hAnsi="Noto Sans CJK KR" w:eastAsia="Noto Sans CJK KR" w:cs="Noto Sans CJK KR"/>
                <w:b/>
                <w:color w:val="FFFFFF"/>
                <w:sz w:val="18"/>
              </w:rPr>
              <w:t>가격·대가 예시</w:t>
            </w:r>
          </w:p>
        </w:tc>
        <w:tc>
          <w:tcPr>
            <w:tcW w:type="dxa" w:w="6350"/>
            <w:shd w:fill="193C55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/>
            </w:pPr>
            <w:r>
              <w:rPr>
                <w:rFonts w:ascii="Noto Sans CJK KR" w:hAnsi="Noto Sans CJK KR" w:eastAsia="Noto Sans CJK KR" w:cs="Noto Sans CJK KR"/>
                <w:b/>
                <w:color w:val="FFFFFF"/>
                <w:sz w:val="18"/>
              </w:rPr>
              <w:t>계약에 반영한 범위</w:t>
            </w:r>
          </w:p>
        </w:tc>
      </w:tr>
      <w:tr>
        <w:trPr>
          <w:cantSplit/>
        </w:trPr>
        <w:tc>
          <w:tcPr>
            <w:tcW w:type="dxa" w:w="2041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17쪽 기본 입장권</w:t>
            </w:r>
          </w:p>
        </w:tc>
        <w:tc>
          <w:tcPr>
            <w:tcW w:type="dxa" w:w="6520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판매 12,000원 / 공급 10,000원 / 가맹점 1,000원 / 플랫폼 1,000원</w:t>
            </w:r>
          </w:p>
        </w:tc>
        <w:tc>
          <w:tcPr>
            <w:tcW w:type="dxa" w:w="6350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금액은 미채택. 공급·가맹점·플랫폼의 역할 및 판매 시점 설명과 입장 정산의 차이만 확인.</w:t>
            </w:r>
          </w:p>
        </w:tc>
      </w:tr>
      <w:tr>
        <w:trPr>
          <w:cantSplit/>
        </w:trPr>
        <w:tc>
          <w:tcPr>
            <w:tcW w:type="dxa" w:w="2041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20쪽 A 포스터형</w:t>
            </w:r>
          </w:p>
        </w:tc>
        <w:tc>
          <w:tcPr>
            <w:tcW w:type="dxa" w:w="6520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판매 11,400원 / 공급 10,000원 / 가맹점 500원 / 플랫폼 470원 / 실비 430원</w:t>
            </w:r>
          </w:p>
        </w:tc>
        <w:tc>
          <w:tcPr>
            <w:tcW w:type="dxa" w:w="6350"/>
            <w:vAlign w:val="top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금액은 미채택. A/B를 상품·채널별로 확정하도록 별첨 구분.</w:t>
            </w:r>
          </w:p>
        </w:tc>
      </w:tr>
      <w:tr>
        <w:trPr>
          <w:cantSplit/>
        </w:trPr>
        <w:tc>
          <w:tcPr>
            <w:tcW w:type="dxa" w:w="2041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20쪽 B POS형</w:t>
            </w:r>
          </w:p>
        </w:tc>
        <w:tc>
          <w:tcPr>
            <w:tcW w:type="dxa" w:w="6520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판매 10,800원 / 공급 9,200원 / 가맹점 700원 / 플랫폼 470원 / 실비 430원</w:t>
            </w:r>
          </w:p>
        </w:tc>
        <w:tc>
          <w:tcPr>
            <w:tcW w:type="dxa" w:w="6350"/>
            <w:vAlign w:val="top"/>
            <w:shd w:fill="F6F8FA"/>
            <w:tcMar>
              <w:top w:w="70" w:type="dxa"/>
              <w:left w:w="95" w:type="dxa"/>
              <w:bottom w:w="70" w:type="dxa"/>
              <w:right w:w="95" w:type="dxa"/>
            </w:tcMar>
            <w:tcBorders>
              <w:top w:val="single" w:sz="4" w:color="CFD9DF"/>
              <w:left w:val="single" w:sz="4" w:color="CFD9DF"/>
              <w:bottom w:val="single" w:sz="4" w:color="CFD9DF"/>
              <w:right w:val="single" w:sz="4" w:color="CFD9DF"/>
            </w:tcBorders>
          </w:tcPr>
          <w:p>
            <w:pPr>
              <w:spacing w:after="40" w:before="40" w:line="246" w:lineRule="exact"/>
            </w:pPr>
            <w:r>
              <w:rPr>
                <w:rFonts w:ascii="Noto Sans CJK KR" w:hAnsi="Noto Sans CJK KR" w:eastAsia="Noto Sans CJK KR" w:cs="Noto Sans CJK KR"/>
                <w:b w:val="0"/>
                <w:sz w:val="18"/>
              </w:rPr>
              <w:t>금액은 미채택. 8% 표현과 900원 예시도 계약 요율로 확정하지 않음.</w:t>
            </w:r>
          </w:p>
        </w:tc>
      </w:tr>
    </w:tbl>
    <w:p>
      <w:pPr>
        <w:pStyle w:val="Heading2"/>
        <w:keepNext/>
      </w:pPr>
      <w:r>
        <w:rPr>
          <w:rFonts w:ascii="Noto Sans CJK KR" w:hAnsi="Noto Sans CJK KR" w:eastAsia="Noto Sans CJK KR" w:cs="Noto Sans CJK KR"/>
          <w:b w:val="0"/>
        </w:rPr>
        <w:t>2. 공식 외부 자료</w:t>
      </w:r>
    </w:p>
    <w:p>
      <w:pPr>
        <w:spacing w:after="40"/>
      </w:pPr>
      <w:hyperlink r:id="rId11">
        <w:r>
          <w:rPr>
            <w:rFonts w:ascii="Noto Sans CJK KR" w:hAnsi="Noto Sans CJK KR" w:eastAsia="Noto Sans CJK KR"/>
            <w:color w:val="28645F"/>
            <w:sz w:val="19"/>
            <w:b/>
          </w:rPr>
          <w:t>[W1] 삼양라운드힐 공식 이용약관</w:t>
        </w:r>
      </w:hyperlink>
    </w:p>
    <w:p>
      <w:pPr>
        <w:pStyle w:val="Note"/>
        <w:keepNext w:val="0"/>
      </w:pPr>
      <w:r>
        <w:rPr>
          <w:rFonts w:ascii="Noto Sans CJK KR" w:hAnsi="Noto Sans CJK KR" w:eastAsia="Noto Sans CJK KR" w:cs="Noto Sans CJK KR"/>
          <w:b w:val="0"/>
        </w:rPr>
        <w:t>법인명 “삼양라운드힐 주식회사” 및 시설 이용·환불 관련 공개 안내 확인. 하단 사업자번호 226-85-01364, 사업장 주소 평창군 대관령면 꽃밭양지길 708-9는 참고 정보이며, 서명할 사업자등록증과 같다고 단정하지 않았다. 개인정보관리책임자는 대표권 확인 자료가 아니다.</w:t>
      </w:r>
    </w:p>
    <w:p>
      <w:pPr>
        <w:spacing w:after="40"/>
      </w:pPr>
      <w:hyperlink r:id="rId12">
        <w:r>
          <w:rPr>
            <w:rFonts w:ascii="Noto Sans CJK KR" w:hAnsi="Noto Sans CJK KR" w:eastAsia="Noto Sans CJK KR"/>
            <w:color w:val="28645F"/>
            <w:sz w:val="19"/>
            <w:b/>
          </w:rPr>
          <w:t>[W2] 전자상거래법 시행령 제6조</w:t>
        </w:r>
      </w:hyperlink>
    </w:p>
    <w:p>
      <w:pPr>
        <w:pStyle w:val="Note"/>
        <w:keepNext w:val="0"/>
      </w:pPr>
      <w:r>
        <w:rPr>
          <w:rFonts w:ascii="Noto Sans CJK KR" w:hAnsi="Noto Sans CJK KR" w:eastAsia="Noto Sans CJK KR" w:cs="Noto Sans CJK KR"/>
          <w:b w:val="0"/>
        </w:rPr>
        <w:t>2026.7.21 시행본. 거래기록의 유형별 보존기간을 확인하였다. 해당 거래·사업자에게 적용되는 기록 범위에서 반영하며 모든 개인정보에 일괄 장기보존을 요구하지 않는다.</w:t>
      </w:r>
    </w:p>
    <w:p>
      <w:pPr>
        <w:spacing w:after="40"/>
      </w:pPr>
      <w:hyperlink r:id="rId13">
        <w:r>
          <w:rPr>
            <w:rFonts w:ascii="Noto Sans CJK KR" w:hAnsi="Noto Sans CJK KR" w:eastAsia="Noto Sans CJK KR"/>
            <w:color w:val="28645F"/>
            <w:sz w:val="19"/>
            <w:b/>
          </w:rPr>
          <w:t>[W3] 개인정보 보호법 제26조</w:t>
        </w:r>
      </w:hyperlink>
    </w:p>
    <w:p>
      <w:pPr>
        <w:pStyle w:val="Note"/>
        <w:keepNext w:val="0"/>
      </w:pPr>
      <w:r>
        <w:rPr>
          <w:rFonts w:ascii="Noto Sans CJK KR" w:hAnsi="Noto Sans CJK KR" w:eastAsia="Noto Sans CJK KR" w:cs="Noto Sans CJK KR"/>
          <w:b w:val="0"/>
        </w:rPr>
        <w:t>2026.9.11 시행본. 실제 업무위탁에 필요한 문서화·공개·안전조치·감독·재위탁 동의 등을 확인하였다. 본 거래의 모든 당사자를 일률적으로 수탁자로 본 것은 아니다.</w:t>
      </w:r>
    </w:p>
    <w:p>
      <w:pPr>
        <w:spacing w:after="40"/>
      </w:pPr>
      <w:hyperlink r:id="rId14">
        <w:r>
          <w:rPr>
            <w:rFonts w:ascii="Noto Sans CJK KR" w:hAnsi="Noto Sans CJK KR" w:eastAsia="Noto Sans CJK KR"/>
            <w:color w:val="28645F"/>
            <w:sz w:val="19"/>
            <w:b/>
          </w:rPr>
          <w:t>[W4] 부가가치세법 제32조</w:t>
        </w:r>
      </w:hyperlink>
    </w:p>
    <w:p>
      <w:pPr>
        <w:pStyle w:val="Note"/>
        <w:keepNext w:val="0"/>
      </w:pPr>
      <w:r>
        <w:rPr>
          <w:rFonts w:ascii="Noto Sans CJK KR" w:hAnsi="Noto Sans CJK KR" w:eastAsia="Noto Sans CJK KR" w:cs="Noto Sans CJK KR"/>
          <w:b w:val="0"/>
        </w:rPr>
        <w:t>세금계산서의 공급·공급받는 자 및 기재사항에 관한 기준 확인. 이 거래의 과세 여부·중개/재판매 성격·매출 인식·발행금액은 실제 계약 및 세무 전문가 검토가 필요하다.</w:t>
      </w:r>
    </w:p>
    <w:p>
      <w:pPr>
        <w:pStyle w:val="Note"/>
        <w:keepNext w:val="0"/>
      </w:pPr>
      <w:r>
        <w:rPr>
          <w:rFonts w:ascii="Noto Sans CJK KR" w:hAnsi="Noto Sans CJK KR" w:eastAsia="Noto Sans CJK KR" w:cs="Noto Sans CJK KR"/>
          <w:b w:val="0"/>
        </w:rPr>
        <w:t>검토 한계: 상대방의 사업자등록증·등기·공급권한 증빙, 체결된 삼양 계약, 확정 견적, 실제 PG·가맹점 계약, 환불약관·개인정보 화면은 제공되지 않았다. 90일 유효기간이나 특정 No-show 조항의 일률적 위법·무효를 단정하지 않았고, 소비자 권리 확인 전 수익 배분을 막는 방향으로 수정하였다. 최종 서명 전 거래구조를 확정한 뒤 법률·세무 검토가 필요하다.</w:t>
      </w:r>
    </w:p>
    <w:sectPr w:rsidR="00FC693F" w:rsidRPr="0006063C" w:rsidSect="00034616">
      <w:headerReference w:type="default" r:id="rId9"/>
      <w:footerReference w:type="default" r:id="rId10"/>
      <w:pgSz w:w="16838" w:h="11906"/>
      <w:pgMar w:top="907" w:right="964" w:bottom="850" w:left="96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CJK KR" w:hAnsi="Noto Sans CJK KR" w:eastAsia="Noto Sans CJK KR" w:cs="Noto Sans CJK KR"/>
        <w:b w:val="0"/>
        <w:color w:val="586572"/>
        <w:sz w:val="16"/>
      </w:rPr>
      <w:t xml:space="preserve">2026.09.30  |  협의용 수정안  |  </w:t>
    </w:r>
    <w:r/>
    <w:fldSimple w:instr="PAGE"/>
    <w:r>
      <w:rPr>
        <w:rFonts w:ascii="Noto Sans CJK KR" w:hAnsi="Noto Sans CJK KR" w:eastAsia="Noto Sans CJK KR" w:cs="Noto Sans CJK KR"/>
        <w:b w:val="0"/>
        <w:color w:val="586572"/>
        <w:sz w:val="16"/>
      </w:rPr>
      <w:t xml:space="preserve"> / </w:t>
    </w:r>
    <w:r/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  <w:pBdr>
        <w:bottom w:val="single" w:sz="6" w:color="CFD9DF"/>
      </w:pBdr>
    </w:pPr>
    <w:r>
      <w:rPr>
        <w:rFonts w:ascii="Noto Sans CJK KR" w:hAnsi="Noto Sans CJK KR" w:eastAsia="Noto Sans CJK KR" w:cs="Noto Sans CJK KR"/>
        <w:b/>
        <w:color w:val="586572"/>
        <w:sz w:val="16"/>
      </w:rPr>
      <w:t>삼양라운드힐 계약 검토  |  전후 대조표 및 확인사항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0" w:lineRule="exact" w:after="100"/>
    </w:pPr>
    <w:rPr>
      <w:rFonts w:ascii="Noto Sans CJK KR" w:hAnsi="Noto Sans CJK KR"/>
      <w:rFonts w:ascii="Noto Sans CJK KR" w:hAnsi="Noto Sans CJK KR" w:eastAsia="Noto Sans CJK KR" w:cs="Noto Sans CJK KR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360" w:lineRule="exact"/>
      <w:outlineLvl w:val="0"/>
    </w:pPr>
    <w:rPr>
      <w:rFonts w:asciiTheme="majorHAnsi" w:eastAsiaTheme="majorEastAsia" w:hAnsiTheme="majorHAnsi" w:cstheme="majorBidi" w:ascii="Noto Sans CJK KR" w:hAnsi="Noto Sans CJK KR"/>
      <w:b/>
      <w:bCs/>
      <w:color w:val="193C55"/>
      <w:sz w:val="28"/>
      <w:szCs w:val="28"/>
      <w:rFonts w:ascii="Noto Sans CJK KR" w:hAnsi="Noto Sans CJK KR" w:eastAsia="Noto Sans CJK KR" w:cs="Noto Sans CJK K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20" w:line="360" w:lineRule="exact"/>
      <w:outlineLvl w:val="1"/>
    </w:pPr>
    <w:rPr>
      <w:rFonts w:asciiTheme="majorHAnsi" w:eastAsiaTheme="majorEastAsia" w:hAnsiTheme="majorHAnsi" w:cstheme="majorBidi" w:ascii="Noto Sans CJK KR" w:hAnsi="Noto Sans CJK KR"/>
      <w:b/>
      <w:bCs/>
      <w:color w:val="28645F"/>
      <w:sz w:val="22"/>
      <w:szCs w:val="26"/>
      <w:rFonts w:ascii="Noto Sans CJK KR" w:hAnsi="Noto Sans CJK KR" w:eastAsia="Noto Sans CJK KR" w:cs="Noto Sans CJK K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KR" w:hAnsi="Noto Sans CJK KR"/>
      <w:color w:val="17365D" w:themeColor="text2" w:themeShade="BF"/>
      <w:spacing w:val="5"/>
      <w:kern w:val="28"/>
      <w:sz w:val="52"/>
      <w:szCs w:val="52"/>
      <w:rFonts w:ascii="Noto Sans CJK KR" w:hAnsi="Noto Sans CJK KR" w:eastAsia="Noto Sans CJK KR" w:cs="Noto Sans CJK K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Noto Sans CJK KR" w:hAnsi="Noto Sans CJK KR"/>
      <w:i/>
      <w:iCs/>
      <w:color w:val="4F81BD" w:themeColor="accent1"/>
      <w:spacing w:val="15"/>
      <w:sz w:val="24"/>
      <w:szCs w:val="24"/>
      <w:rFonts w:ascii="Noto Sans CJK KR" w:hAnsi="Noto Sans CJK KR" w:eastAsia="Noto Sans CJK KR" w:cs="Noto Sans CJK KR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te">
    <w:name w:val="Note"/>
    <w:basedOn w:val="Normal"/>
    <w:pPr>
      <w:spacing w:line="226" w:lineRule="exact" w:after="100"/>
    </w:pPr>
    <w:rPr>
      <w:rFonts w:ascii="Noto Sans CJK KR" w:hAnsi="Noto Sans CJK KR"/>
      <w:color w:val="586572"/>
      <w:sz w:val="17"/>
    </w:rPr>
  </w:style>
  <w:style w:type="paragraph" w:customStyle="1" w:styleId="Eyebrow">
    <w:name w:val="Eyebrow"/>
    <w:basedOn w:val="Normal"/>
    <w:pPr>
      <w:keepNext/>
      <w:spacing w:after="40"/>
    </w:pPr>
    <w:rPr>
      <w:rFonts w:ascii="Noto Sans CJK KR" w:hAnsi="Noto Sans CJK KR"/>
      <w:b/>
      <w:color w:val="28645F"/>
      <w:sz w:val="16"/>
    </w:rPr>
  </w:style>
  <w:style w:type="paragraph" w:customStyle="1" w:styleId="Clause">
    <w:name w:val="Clause"/>
    <w:basedOn w:val="Normal"/>
    <w:pPr>
      <w:ind w:left="238" w:hanging="238"/>
    </w:pPr>
    <w:rPr>
      <w:rFonts w:ascii="Noto Sans CJK KR" w:hAnsi="Noto Sans CJK KR"/>
      <w:color w:val="17262E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samyangroundhill.com/etc/use" TargetMode="External"/><Relationship Id="rId12" Type="http://schemas.openxmlformats.org/officeDocument/2006/relationships/hyperlink" Target="https://www.law.go.kr/LSW/lsLinkCommonInfo.do?chrClsCd=010202&amp;lspttninfSeq=63460" TargetMode="External"/><Relationship Id="rId13" Type="http://schemas.openxmlformats.org/officeDocument/2006/relationships/hyperlink" Target="https://www.law.go.kr/LSW/lsSideInfoP.do?docCls=jo&amp;joBrNo=00&amp;joNo=0026&amp;lsiSeq=283839&amp;urlMode=lsScJoRltInfoR" TargetMode="External"/><Relationship Id="rId14" Type="http://schemas.openxmlformats.org/officeDocument/2006/relationships/hyperlink" Target="https://www.law.go.kr/LSW/lsLinkCommonInfo.do?ancYnChk=&amp;chrClsCd=&amp;lsJoLnkSeq=10226067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삼양라운드힐 계약 검토  |  전후 대조표 및 확인사항</dc:title>
  <dc:subject>삼양라운드힐 입장권 유통 플랫폼 계약 검토</dc:subject>
  <dc:creator>임팩시스</dc:creator>
  <cp:keywords>imVenue, 삼양라운드힐, 계약검토, 협의용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